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B7FEB2" w14:textId="3B32862B" w:rsidR="00EC43CE" w:rsidRDefault="00EC43CE" w:rsidP="00EC43CE">
      <w:pPr>
        <w:jc w:val="right"/>
      </w:pPr>
      <w:bookmarkStart w:id="0" w:name="_GoBack"/>
      <w:bookmarkEnd w:id="0"/>
      <w:r>
        <w:t>Jeana Marcela Padilla</w:t>
      </w:r>
    </w:p>
    <w:p w14:paraId="1C51FD82" w14:textId="53D780AC" w:rsidR="00EC43CE" w:rsidRDefault="00EC43CE" w:rsidP="00EC43CE">
      <w:pPr>
        <w:jc w:val="right"/>
      </w:pPr>
      <w:r>
        <w:t xml:space="preserve">Isabela Camacho Valencia </w:t>
      </w:r>
    </w:p>
    <w:p w14:paraId="2D4B9028" w14:textId="2ABD7356" w:rsidR="003D6F39" w:rsidRPr="00EC43CE" w:rsidRDefault="00EC43CE" w:rsidP="00EC43CE">
      <w:pPr>
        <w:jc w:val="center"/>
        <w:rPr>
          <w:sz w:val="32"/>
          <w:szCs w:val="32"/>
        </w:rPr>
      </w:pPr>
      <w:r>
        <w:rPr>
          <w:sz w:val="32"/>
          <w:szCs w:val="32"/>
        </w:rPr>
        <w:t>INDAGACIÓN EN EL PERIODICO VANGUARDIA SOBRE LA SECCIÓN DE LA CIUDAD BONITA</w:t>
      </w:r>
    </w:p>
    <w:p w14:paraId="05CD2004" w14:textId="508D1869" w:rsidR="003D6F39" w:rsidRDefault="003D6F39" w:rsidP="00BC7D12">
      <w:pPr>
        <w:jc w:val="both"/>
      </w:pPr>
    </w:p>
    <w:p w14:paraId="1C90CA16" w14:textId="4FEE54CD" w:rsidR="004E4836" w:rsidRDefault="00EC43CE" w:rsidP="00BC7D12">
      <w:pPr>
        <w:jc w:val="both"/>
      </w:pPr>
      <w:r>
        <w:rPr>
          <w:noProof/>
          <w:lang w:val="es-ES" w:eastAsia="es-ES"/>
        </w:rPr>
        <w:drawing>
          <wp:anchor distT="0" distB="0" distL="114300" distR="114300" simplePos="0" relativeHeight="251660288" behindDoc="0" locked="0" layoutInCell="1" allowOverlap="1" wp14:anchorId="0AA569AC" wp14:editId="32804150">
            <wp:simplePos x="0" y="0"/>
            <wp:positionH relativeFrom="margin">
              <wp:posOffset>243840</wp:posOffset>
            </wp:positionH>
            <wp:positionV relativeFrom="margin">
              <wp:posOffset>1504950</wp:posOffset>
            </wp:positionV>
            <wp:extent cx="3295015" cy="1905000"/>
            <wp:effectExtent l="0" t="0" r="635" b="0"/>
            <wp:wrapSquare wrapText="bothSides"/>
            <wp:docPr id="14" name="Imagen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00000}"/>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12228" t="10513" r="12987" b="5271"/>
                    <a:stretch/>
                  </pic:blipFill>
                  <pic:spPr>
                    <a:xfrm>
                      <a:off x="0" y="0"/>
                      <a:ext cx="3295015" cy="1905000"/>
                    </a:xfrm>
                    <a:prstGeom prst="rect">
                      <a:avLst/>
                    </a:prstGeom>
                  </pic:spPr>
                </pic:pic>
              </a:graphicData>
            </a:graphic>
          </wp:anchor>
        </w:drawing>
      </w:r>
      <w:r w:rsidR="003D6F39">
        <w:t xml:space="preserve">El </w:t>
      </w:r>
      <w:r w:rsidR="004E4836">
        <w:t>titular de est</w:t>
      </w:r>
      <w:r w:rsidR="00BC7D12">
        <w:t xml:space="preserve">a noticia es </w:t>
      </w:r>
      <w:r w:rsidR="00BC7D12" w:rsidRPr="00BC7D12">
        <w:rPr>
          <w:u w:val="single"/>
        </w:rPr>
        <w:t>expectativo</w:t>
      </w:r>
      <w:r w:rsidR="00BC7D12">
        <w:t xml:space="preserve">, se </w:t>
      </w:r>
      <w:r w:rsidR="00090282">
        <w:t xml:space="preserve">busca que el lector </w:t>
      </w:r>
      <w:r w:rsidR="00BC7D12">
        <w:t xml:space="preserve">entre y lea el desarrollo de los hechos para que obtenga una información más completa, las fuentes son </w:t>
      </w:r>
      <w:r w:rsidR="00BC7D12" w:rsidRPr="00BC7D12">
        <w:rPr>
          <w:u w:val="single"/>
        </w:rPr>
        <w:t>Oficiales</w:t>
      </w:r>
      <w:r w:rsidR="00BC7D12">
        <w:t xml:space="preserve"> ya que declara el Secretario Administrativo de la Alcaldía de Bucaramanga y además por parte del </w:t>
      </w:r>
      <w:r w:rsidR="00BC7D12" w:rsidRPr="00BC7D12">
        <w:rPr>
          <w:u w:val="single"/>
        </w:rPr>
        <w:t>afectad</w:t>
      </w:r>
      <w:r w:rsidR="00BC7D12">
        <w:t xml:space="preserve">o que es la empresa de vigilancia declara el Gerente de dicha empresa. La imagen es de </w:t>
      </w:r>
      <w:r w:rsidR="00BC7D12" w:rsidRPr="00BC7D12">
        <w:rPr>
          <w:u w:val="single"/>
        </w:rPr>
        <w:t>Archivo y genérica</w:t>
      </w:r>
      <w:r w:rsidR="00BC7D12">
        <w:t xml:space="preserve"> ya que puede ser usada en cualquier noticia relacionada con Neomundo. El sesgo es </w:t>
      </w:r>
      <w:r w:rsidR="00BC7D12" w:rsidRPr="00BC7D12">
        <w:rPr>
          <w:u w:val="single"/>
        </w:rPr>
        <w:t xml:space="preserve">neutro </w:t>
      </w:r>
      <w:r w:rsidR="00BC7D12">
        <w:t xml:space="preserve">ya que el autor se limita a relatar los hechos sin tomar posición sobre el acontecimiento. </w:t>
      </w:r>
    </w:p>
    <w:p w14:paraId="79A566C9" w14:textId="61B47903" w:rsidR="00BC7D12" w:rsidRDefault="00BC7D12" w:rsidP="004E4836"/>
    <w:p w14:paraId="59652115" w14:textId="63935482" w:rsidR="004E4836" w:rsidRDefault="00EC43CE" w:rsidP="003D6F39">
      <w:pPr>
        <w:jc w:val="both"/>
      </w:pPr>
      <w:r>
        <w:rPr>
          <w:noProof/>
          <w:lang w:val="es-ES" w:eastAsia="es-ES"/>
        </w:rPr>
        <w:drawing>
          <wp:anchor distT="0" distB="0" distL="114300" distR="114300" simplePos="0" relativeHeight="251661312" behindDoc="0" locked="0" layoutInCell="1" allowOverlap="1" wp14:anchorId="011882F0" wp14:editId="261DF910">
            <wp:simplePos x="0" y="0"/>
            <wp:positionH relativeFrom="margin">
              <wp:align>left</wp:align>
            </wp:positionH>
            <wp:positionV relativeFrom="paragraph">
              <wp:posOffset>5080</wp:posOffset>
            </wp:positionV>
            <wp:extent cx="3219450" cy="2033905"/>
            <wp:effectExtent l="0" t="0" r="0" b="4445"/>
            <wp:wrapSquare wrapText="bothSides"/>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pic:cNvPicPr>
                      <a:picLocks noChangeAspect="1"/>
                    </pic:cNvPicPr>
                  </pic:nvPicPr>
                  <pic:blipFill rotWithShape="1">
                    <a:blip r:embed="rId7" cstate="print">
                      <a:extLst>
                        <a:ext uri="{28A0092B-C50C-407E-A947-70E740481C1C}">
                          <a14:useLocalDpi xmlns:a14="http://schemas.microsoft.com/office/drawing/2010/main" val="0"/>
                        </a:ext>
                      </a:extLst>
                    </a:blip>
                    <a:srcRect l="12020" t="9045" r="12023" b="5598"/>
                    <a:stretch/>
                  </pic:blipFill>
                  <pic:spPr>
                    <a:xfrm>
                      <a:off x="0" y="0"/>
                      <a:ext cx="3219450" cy="2033905"/>
                    </a:xfrm>
                    <a:prstGeom prst="rect">
                      <a:avLst/>
                    </a:prstGeom>
                  </pic:spPr>
                </pic:pic>
              </a:graphicData>
            </a:graphic>
            <wp14:sizeRelH relativeFrom="page">
              <wp14:pctWidth>0</wp14:pctWidth>
            </wp14:sizeRelH>
            <wp14:sizeRelV relativeFrom="page">
              <wp14:pctHeight>0</wp14:pctHeight>
            </wp14:sizeRelV>
          </wp:anchor>
        </w:drawing>
      </w:r>
      <w:r w:rsidR="00813B46">
        <w:t xml:space="preserve">En este caso podemos evidenciar un titular </w:t>
      </w:r>
      <w:r w:rsidR="00813B46" w:rsidRPr="00813B46">
        <w:rPr>
          <w:u w:val="single"/>
        </w:rPr>
        <w:t>técnico</w:t>
      </w:r>
      <w:r w:rsidR="00813B46">
        <w:t xml:space="preserve"> donde nos dan unas cifras específicas sobre un tema. El lector tiene la opción de ampliar la información o simplemente quedarse con esta y aun así estar informado sobre el tema. La fuente de la noticia es </w:t>
      </w:r>
      <w:r w:rsidR="00813B46" w:rsidRPr="00813B46">
        <w:rPr>
          <w:u w:val="single"/>
        </w:rPr>
        <w:t>oficial</w:t>
      </w:r>
      <w:r w:rsidR="003D6F39">
        <w:rPr>
          <w:u w:val="single"/>
        </w:rPr>
        <w:t>,</w:t>
      </w:r>
      <w:r w:rsidR="00813B46">
        <w:t xml:space="preserve"> ya que son los reportes del Ministerio de Salud. La imagen es de </w:t>
      </w:r>
      <w:r w:rsidR="00813B46" w:rsidRPr="00813B46">
        <w:rPr>
          <w:u w:val="single"/>
        </w:rPr>
        <w:t>Archivo y Genérica</w:t>
      </w:r>
      <w:r w:rsidR="00813B46">
        <w:t xml:space="preserve">, ya que ha sido usada en otras noticias sobre el Covid19. El sesgo noticioso es </w:t>
      </w:r>
      <w:r w:rsidR="00813B46" w:rsidRPr="00813B46">
        <w:rPr>
          <w:u w:val="single"/>
        </w:rPr>
        <w:t>neutro</w:t>
      </w:r>
      <w:r w:rsidR="00813B46" w:rsidRPr="00813B46">
        <w:t xml:space="preserve"> </w:t>
      </w:r>
      <w:r w:rsidR="00813B46">
        <w:t>la noticia es desarrollada sin posturas del autor y basada específicamente en los reportes brindados por el ministerio colombiano.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588"/>
      </w:tblGrid>
      <w:tr w:rsidR="003D6F39" w14:paraId="04200E1B" w14:textId="77777777" w:rsidTr="003D6F39">
        <w:tc>
          <w:tcPr>
            <w:tcW w:w="5240" w:type="dxa"/>
          </w:tcPr>
          <w:p w14:paraId="35635300" w14:textId="47D40E80" w:rsidR="003D6F39" w:rsidRDefault="003D6F39" w:rsidP="003D6F39">
            <w:pPr>
              <w:jc w:val="both"/>
            </w:pPr>
            <w:r>
              <w:rPr>
                <w:noProof/>
                <w:lang w:val="es-ES" w:eastAsia="es-ES"/>
              </w:rPr>
              <w:lastRenderedPageBreak/>
              <w:drawing>
                <wp:inline distT="0" distB="0" distL="0" distR="0" wp14:anchorId="2D3D16B3" wp14:editId="5C0D5C9F">
                  <wp:extent cx="3114675" cy="1524000"/>
                  <wp:effectExtent l="0" t="0" r="9525" b="0"/>
                  <wp:docPr id="3" name="Imagen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F2E23C-66BC-45C0-BC2C-41B5BFEEE2EA}"/>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F2E23C-66BC-45C0-BC2C-41B5BFEEE2EA}"/>
                              </a:ext>
                            </a:extLst>
                          </pic:cNvPr>
                          <pic:cNvPicPr/>
                        </pic:nvPicPr>
                        <pic:blipFill rotWithShape="1">
                          <a:blip r:embed="rId8"/>
                          <a:srcRect l="9675" t="17208" r="9878" b="5815"/>
                          <a:stretch/>
                        </pic:blipFill>
                        <pic:spPr bwMode="auto">
                          <a:xfrm>
                            <a:off x="0" y="0"/>
                            <a:ext cx="3114675" cy="1524000"/>
                          </a:xfrm>
                          <a:prstGeom prst="rect">
                            <a:avLst/>
                          </a:prstGeom>
                          <a:ln>
                            <a:noFill/>
                          </a:ln>
                          <a:extLst>
                            <a:ext uri="{53640926-AAD7-44D8-BBD7-CCE9431645EC}">
                              <a14:shadowObscured xmlns:a14="http://schemas.microsoft.com/office/drawing/2010/main"/>
                            </a:ext>
                          </a:extLst>
                        </pic:spPr>
                      </pic:pic>
                    </a:graphicData>
                  </a:graphic>
                </wp:inline>
              </w:drawing>
            </w:r>
          </w:p>
        </w:tc>
        <w:tc>
          <w:tcPr>
            <w:tcW w:w="3588" w:type="dxa"/>
          </w:tcPr>
          <w:p w14:paraId="3E74063C" w14:textId="6EC8A96A" w:rsidR="003D6F39" w:rsidRPr="003D6F39" w:rsidRDefault="003D6F39" w:rsidP="003D6F39">
            <w:pPr>
              <w:jc w:val="both"/>
            </w:pPr>
            <w:r>
              <w:t xml:space="preserve">En esta noticia se logra identificar un titular </w:t>
            </w:r>
            <w:r w:rsidRPr="003D6F39">
              <w:rPr>
                <w:u w:val="single"/>
              </w:rPr>
              <w:t>sensacionalista</w:t>
            </w:r>
            <w:r>
              <w:rPr>
                <w:u w:val="single"/>
              </w:rPr>
              <w:t>,</w:t>
            </w:r>
            <w:r>
              <w:t xml:space="preserve"> ya que, al mencionar la vulnerabilidad de esta población y la esperanza de crecimiento en ella al ingresar a la mejor universidad de la ciudad, logra causar un efecto de empatía y de ilusión. Por otro lado, a fuente de este artículo es </w:t>
            </w:r>
            <w:r w:rsidRPr="003D6F39">
              <w:rPr>
                <w:u w:val="single"/>
              </w:rPr>
              <w:t>oficial</w:t>
            </w:r>
            <w:r w:rsidRPr="003D6F39">
              <w:t xml:space="preserve">, debido a </w:t>
            </w:r>
            <w:r w:rsidRPr="0068571A">
              <w:t>que la cita</w:t>
            </w:r>
          </w:p>
        </w:tc>
      </w:tr>
    </w:tbl>
    <w:p w14:paraId="405688D0" w14:textId="6E3AEED9" w:rsidR="002E6B50" w:rsidRDefault="0068571A" w:rsidP="003D6F39">
      <w:pPr>
        <w:jc w:val="both"/>
      </w:pPr>
      <w:r>
        <w:t xml:space="preserve">expuesta es por parte de la Universidad Industrial de Santander. Además, este reportaje cuenta con una imagen del </w:t>
      </w:r>
      <w:r w:rsidRPr="0068571A">
        <w:rPr>
          <w:u w:val="single"/>
        </w:rPr>
        <w:t>día</w:t>
      </w:r>
      <w:r>
        <w:t xml:space="preserve"> </w:t>
      </w:r>
      <w:r w:rsidR="002E6B50">
        <w:t xml:space="preserve">e </w:t>
      </w:r>
      <w:r w:rsidR="002E6B50" w:rsidRPr="002E6B50">
        <w:rPr>
          <w:u w:val="single"/>
        </w:rPr>
        <w:t>ilustrativa</w:t>
      </w:r>
      <w:r w:rsidR="002E6B50">
        <w:t>,</w:t>
      </w:r>
      <w:r>
        <w:t xml:space="preserve"> puesto a que</w:t>
      </w:r>
      <w:r w:rsidR="002E6B50">
        <w:t>,</w:t>
      </w:r>
      <w:r>
        <w:t xml:space="preserve"> est</w:t>
      </w:r>
      <w:r w:rsidR="00865096">
        <w:t xml:space="preserve">a </w:t>
      </w:r>
      <w:r w:rsidR="002E6B50">
        <w:t xml:space="preserve">imagen exhibe cual es la población vulnerable de la que se está hablando. Finalmente, el sesgo noticioso es </w:t>
      </w:r>
      <w:r w:rsidR="002E6B50" w:rsidRPr="002E6B50">
        <w:rPr>
          <w:u w:val="single"/>
        </w:rPr>
        <w:t>positivo</w:t>
      </w:r>
      <w:r w:rsidR="002E6B50">
        <w:rPr>
          <w:u w:val="single"/>
        </w:rPr>
        <w:t xml:space="preserve">, </w:t>
      </w:r>
      <w:r w:rsidR="002E6B50">
        <w:t xml:space="preserve">puesto a que se refleja la subjetividad en cuanto a estar de acuerdo con este tipo de modalidades.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002"/>
      </w:tblGrid>
      <w:tr w:rsidR="00905C3C" w14:paraId="69F1D987" w14:textId="77777777" w:rsidTr="00905C3C">
        <w:tc>
          <w:tcPr>
            <w:tcW w:w="4673" w:type="dxa"/>
          </w:tcPr>
          <w:p w14:paraId="63BF75B7" w14:textId="6CB1A615" w:rsidR="00905C3C" w:rsidRDefault="00905C3C" w:rsidP="003D6F39">
            <w:pPr>
              <w:jc w:val="both"/>
            </w:pPr>
            <w:r>
              <w:rPr>
                <w:noProof/>
                <w:lang w:val="es-ES" w:eastAsia="es-ES"/>
              </w:rPr>
              <w:drawing>
                <wp:inline distT="0" distB="0" distL="0" distR="0" wp14:anchorId="763D5C00" wp14:editId="2793EBB1">
                  <wp:extent cx="2933700" cy="1990725"/>
                  <wp:effectExtent l="0" t="0" r="0" b="9525"/>
                  <wp:docPr id="16" name="Imagen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718948-5356-4D90-BB16-50B6EFABE894}"/>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718948-5356-4D90-BB16-50B6EFABE894}"/>
                              </a:ext>
                            </a:extLst>
                          </pic:cNvPr>
                          <pic:cNvPicPr/>
                        </pic:nvPicPr>
                        <pic:blipFill rotWithShape="1">
                          <a:blip r:embed="rId9"/>
                          <a:srcRect l="9165" t="17508" r="21588" b="5515"/>
                          <a:stretch/>
                        </pic:blipFill>
                        <pic:spPr bwMode="auto">
                          <a:xfrm>
                            <a:off x="0" y="0"/>
                            <a:ext cx="2933700" cy="1990725"/>
                          </a:xfrm>
                          <a:prstGeom prst="rect">
                            <a:avLst/>
                          </a:prstGeom>
                          <a:ln>
                            <a:noFill/>
                          </a:ln>
                          <a:extLst>
                            <a:ext uri="{53640926-AAD7-44D8-BBD7-CCE9431645EC}">
                              <a14:shadowObscured xmlns:a14="http://schemas.microsoft.com/office/drawing/2010/main"/>
                            </a:ext>
                          </a:extLst>
                        </pic:spPr>
                      </pic:pic>
                    </a:graphicData>
                  </a:graphic>
                </wp:inline>
              </w:drawing>
            </w:r>
          </w:p>
        </w:tc>
        <w:tc>
          <w:tcPr>
            <w:tcW w:w="4155" w:type="dxa"/>
          </w:tcPr>
          <w:p w14:paraId="4313CED0" w14:textId="5CB8BD56" w:rsidR="0098418A" w:rsidRPr="0098418A" w:rsidRDefault="00905C3C" w:rsidP="003D6F39">
            <w:pPr>
              <w:jc w:val="both"/>
            </w:pPr>
            <w:r>
              <w:t xml:space="preserve">En esta noticia cuenta con un titular </w:t>
            </w:r>
            <w:r>
              <w:rPr>
                <w:u w:val="single"/>
              </w:rPr>
              <w:t>técnico,</w:t>
            </w:r>
            <w:r>
              <w:t xml:space="preserve"> </w:t>
            </w:r>
            <w:r w:rsidR="00AD29F1">
              <w:t xml:space="preserve">en primer lugar, por las cifras presentadas y por el termino “mecanismo Covax” puesto a que, es una expresión que se debe tener conocimiento previo para comprenderla. También, cuenta con la fuente </w:t>
            </w:r>
            <w:r w:rsidR="00AD29F1">
              <w:rPr>
                <w:u w:val="single"/>
              </w:rPr>
              <w:t xml:space="preserve">oficial </w:t>
            </w:r>
            <w:r w:rsidR="00AD29F1">
              <w:t xml:space="preserve">por parte del </w:t>
            </w:r>
            <w:r w:rsidR="00AD29F1" w:rsidRPr="00AD29F1">
              <w:t>secretario de Salud de Santander, Javier Villamizar</w:t>
            </w:r>
            <w:r w:rsidR="00AD29F1">
              <w:t xml:space="preserve">. </w:t>
            </w:r>
            <w:r w:rsidR="0098418A">
              <w:t xml:space="preserve">Además, la imagen de este artículo es de </w:t>
            </w:r>
            <w:r w:rsidR="0098418A">
              <w:rPr>
                <w:u w:val="single"/>
              </w:rPr>
              <w:t>archivo</w:t>
            </w:r>
            <w:r w:rsidR="0098418A">
              <w:t xml:space="preserve"> y </w:t>
            </w:r>
            <w:r w:rsidR="0098418A" w:rsidRPr="0098418A">
              <w:rPr>
                <w:u w:val="single"/>
              </w:rPr>
              <w:t>genérica</w:t>
            </w:r>
            <w:r w:rsidR="0098418A">
              <w:rPr>
                <w:u w:val="single"/>
              </w:rPr>
              <w:t xml:space="preserve">, </w:t>
            </w:r>
            <w:r w:rsidR="0098418A">
              <w:t xml:space="preserve">ya que puede ser utilizada en cualquier otra noticia relacionada con la salud. Finalmente, el </w:t>
            </w:r>
          </w:p>
        </w:tc>
      </w:tr>
    </w:tbl>
    <w:p w14:paraId="65E9F9AF" w14:textId="07A880FD" w:rsidR="002E6B50" w:rsidRDefault="0098418A" w:rsidP="003D6F39">
      <w:pPr>
        <w:jc w:val="both"/>
      </w:pPr>
      <w:r>
        <w:t>sesgo es neutral, ya que no se presenta ninguna posición subjetiva al respecto.</w:t>
      </w:r>
    </w:p>
    <w:p w14:paraId="08A2FDA8" w14:textId="1244E16C" w:rsidR="00AC5E47" w:rsidRDefault="00AC5E47" w:rsidP="001316DF">
      <w:pPr>
        <w:jc w:val="center"/>
        <w:rPr>
          <w:sz w:val="32"/>
          <w:szCs w:val="32"/>
        </w:rPr>
      </w:pPr>
      <w:r>
        <w:rPr>
          <w:sz w:val="32"/>
          <w:szCs w:val="32"/>
        </w:rPr>
        <w:t>GRÁFICOS DE RESULTADOS</w:t>
      </w:r>
    </w:p>
    <w:p w14:paraId="288DBB67" w14:textId="04A7278A" w:rsidR="00813B46" w:rsidRDefault="00AC5E47" w:rsidP="001316DF">
      <w:pPr>
        <w:jc w:val="center"/>
      </w:pPr>
      <w:r>
        <w:rPr>
          <w:noProof/>
          <w:lang w:val="es-ES" w:eastAsia="es-ES"/>
        </w:rPr>
        <w:drawing>
          <wp:inline distT="0" distB="0" distL="0" distR="0" wp14:anchorId="34EAFD44" wp14:editId="78101488">
            <wp:extent cx="4114800" cy="240982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EF9724" w14:textId="77777777" w:rsidR="00EC43CE" w:rsidRDefault="00EC43CE" w:rsidP="00EC43CE">
      <w:pPr>
        <w:jc w:val="both"/>
        <w:rPr>
          <w:i/>
        </w:rPr>
      </w:pPr>
      <w:r>
        <w:lastRenderedPageBreak/>
        <w:t xml:space="preserve">Durante este seguimiento de medios se pudo notar que los titulares expectativos son utilizados frecuentemente, ya que generan un interés más alto en el lector para continuar leyendo la noticia y tener seguimiento de la misma, por ende, cuenta con el 50% de los titulares de este análisis. Por otra parte, los técnicos son usados para dar estadísticas o cifras exactas y se usan términos técnicos que requieren un conocimiento previo, en su mayoría para noticias relacionadas con la situación del departamento en cuanto al covid-19, este tipo de titular tiene un 29% dentro del seguimiento. El 18% de los titulares evidenciados en este seguimiento son sensacionalistas, los cuales generan efectos tanto positivos como negativos en el espectador y solo el 3% son confusos, es decir mal redactados. </w:t>
      </w:r>
    </w:p>
    <w:p w14:paraId="1BA48784" w14:textId="77777777" w:rsidR="00EC43CE" w:rsidRPr="00281939" w:rsidRDefault="00EC43CE" w:rsidP="001316DF">
      <w:pPr>
        <w:jc w:val="center"/>
      </w:pPr>
    </w:p>
    <w:p w14:paraId="25FEB0FC" w14:textId="435EB704" w:rsidR="00813B46" w:rsidRDefault="00813B46" w:rsidP="0014229E">
      <w:pPr>
        <w:jc w:val="center"/>
      </w:pPr>
      <w:r>
        <w:rPr>
          <w:noProof/>
          <w:lang w:val="es-ES" w:eastAsia="es-ES"/>
        </w:rPr>
        <w:drawing>
          <wp:inline distT="0" distB="0" distL="0" distR="0" wp14:anchorId="32DC99CC" wp14:editId="624BEFC3">
            <wp:extent cx="4051935" cy="2381250"/>
            <wp:effectExtent l="0" t="0" r="571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042ABD" w14:textId="051B969E" w:rsidR="0014229E" w:rsidRDefault="0014229E" w:rsidP="0014229E">
      <w:pPr>
        <w:jc w:val="both"/>
      </w:pPr>
      <w:r>
        <w:t xml:space="preserve">En cuanto a las fuentes podemos observar que al igual que en el análisis anterior, las fuentes oficiales son las más consultadas por Vanguardia en la construcción de sus noticias ya que el 60% de sus fuentes son de este tipo. Seguidas de los Afectados, la cual cuenta con un 27%, estos testimonios son usados en noticias en las cuales los ciudadanos se ven afectados directamente, donde se convierten en víctimas de la temática del artículo. Finalmente, el 8% de las noticias no manejan una fuente y el 5% cuentan con una fuente experta que ayuda a ampliar la información por parte de una persona que tenga un amplio conocimiento del tema a tratar. </w:t>
      </w:r>
    </w:p>
    <w:p w14:paraId="239FEAEC" w14:textId="77777777" w:rsidR="0014229E" w:rsidRDefault="0014229E" w:rsidP="002339EC">
      <w:pPr>
        <w:jc w:val="both"/>
      </w:pPr>
    </w:p>
    <w:p w14:paraId="27B89A0F" w14:textId="273192E1" w:rsidR="002339EC" w:rsidRDefault="002339EC" w:rsidP="0014229E">
      <w:pPr>
        <w:jc w:val="center"/>
      </w:pPr>
      <w:r>
        <w:rPr>
          <w:noProof/>
          <w:lang w:val="es-ES" w:eastAsia="es-ES"/>
        </w:rPr>
        <w:lastRenderedPageBreak/>
        <w:drawing>
          <wp:inline distT="0" distB="0" distL="0" distR="0" wp14:anchorId="5F2D5A02" wp14:editId="61BAF038">
            <wp:extent cx="4048125" cy="2390775"/>
            <wp:effectExtent l="0" t="0" r="9525"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69C691" w14:textId="2BEA226D" w:rsidR="0014229E" w:rsidRDefault="0014229E" w:rsidP="0014229E">
      <w:pPr>
        <w:jc w:val="both"/>
      </w:pPr>
      <w:r>
        <w:t>En el sesgo encontramos una coherencia directa con el seguimiento de medios anterior, ya que su postura es en mayoría neutra con un 61%, es decir, evita tomar un lado en la noticia e influir en la interpretación que hace el lector de la noticia. Por otro lado, el 21% es positivo y el 18% restante es negativo, las cuales son cifras bastante amplias, considerando que el periodismo debería ser neutral en su 100%.</w:t>
      </w:r>
    </w:p>
    <w:p w14:paraId="33DC7B0F" w14:textId="77777777" w:rsidR="0014229E" w:rsidRDefault="0014229E" w:rsidP="0014229E">
      <w:pPr>
        <w:jc w:val="center"/>
      </w:pPr>
    </w:p>
    <w:p w14:paraId="0B1B3C82" w14:textId="3513DAC3" w:rsidR="00813B46" w:rsidRDefault="00813B46" w:rsidP="0014229E">
      <w:pPr>
        <w:jc w:val="center"/>
      </w:pPr>
      <w:r>
        <w:rPr>
          <w:noProof/>
          <w:lang w:val="es-ES" w:eastAsia="es-ES"/>
        </w:rPr>
        <w:drawing>
          <wp:inline distT="0" distB="0" distL="0" distR="0" wp14:anchorId="40C5CB63" wp14:editId="1AE74377">
            <wp:extent cx="4038600" cy="244792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ED09B0" w14:textId="324E4804" w:rsidR="00813B46" w:rsidRDefault="0014229E" w:rsidP="0014229E">
      <w:pPr>
        <w:jc w:val="both"/>
      </w:pPr>
      <w:r>
        <w:t xml:space="preserve">Las fotografías revisadas en este seguimiento arrojaron un resultado de 50/50, ya que la mitad de las noticias analizadas eran acompañadas de fotografías de archivo y la otra mitad de fotografías del día. </w:t>
      </w:r>
    </w:p>
    <w:p w14:paraId="5A4B0255" w14:textId="002D87AA" w:rsidR="00813B46" w:rsidRDefault="00813B46" w:rsidP="0014229E">
      <w:pPr>
        <w:jc w:val="center"/>
      </w:pPr>
      <w:r>
        <w:rPr>
          <w:noProof/>
          <w:lang w:val="es-ES" w:eastAsia="es-ES"/>
        </w:rPr>
        <w:lastRenderedPageBreak/>
        <w:drawing>
          <wp:inline distT="0" distB="0" distL="0" distR="0" wp14:anchorId="68D83590" wp14:editId="26374B3E">
            <wp:extent cx="4191000" cy="2295525"/>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2E7A69" w14:textId="3D6EBC68" w:rsidR="0014229E" w:rsidRDefault="0014229E" w:rsidP="0014229E">
      <w:pPr>
        <w:jc w:val="both"/>
      </w:pPr>
      <w:r>
        <w:t>En el tipo de imagen podemos identificar que el 50% es genérica,</w:t>
      </w:r>
      <w:r w:rsidR="00F1698A">
        <w:t xml:space="preserve"> las cuales se</w:t>
      </w:r>
      <w:r>
        <w:t xml:space="preserve"> usan frecuentemente </w:t>
      </w:r>
      <w:r w:rsidR="00F1698A">
        <w:t xml:space="preserve">con </w:t>
      </w:r>
      <w:r>
        <w:t xml:space="preserve">las imágenes de archivo de forma repetitiva en varias noticias y además son imágenes que pueden </w:t>
      </w:r>
      <w:r w:rsidR="00F1698A">
        <w:t>ser utilizadas en</w:t>
      </w:r>
      <w:r>
        <w:t xml:space="preserve"> cualquier noticia que se relacione </w:t>
      </w:r>
      <w:r w:rsidR="00F1698A">
        <w:t>con el</w:t>
      </w:r>
      <w:r>
        <w:t xml:space="preserve"> contenido. </w:t>
      </w:r>
      <w:r w:rsidR="0066318B">
        <w:t>Además, e</w:t>
      </w:r>
      <w:r>
        <w:t xml:space="preserve">l 36% son ilustrativas y buscan complementar o ampliar la información desde el apoyo grafico que estas imágenes brindan. </w:t>
      </w:r>
      <w:r w:rsidR="0066318B">
        <w:t>Y, por último, e</w:t>
      </w:r>
      <w:r>
        <w:t xml:space="preserve">l 14% restante son </w:t>
      </w:r>
      <w:r w:rsidR="0066318B">
        <w:t xml:space="preserve">imágenes de </w:t>
      </w:r>
      <w:r>
        <w:t>apoyo</w:t>
      </w:r>
      <w:r w:rsidR="0066318B">
        <w:t xml:space="preserve">, que </w:t>
      </w:r>
      <w:r>
        <w:t>se usan</w:t>
      </w:r>
      <w:r w:rsidR="0066318B">
        <w:t xml:space="preserve"> </w:t>
      </w:r>
      <w:r>
        <w:t xml:space="preserve">para complementar </w:t>
      </w:r>
      <w:r w:rsidR="00B14DBE">
        <w:t xml:space="preserve">y soportar </w:t>
      </w:r>
      <w:r>
        <w:t xml:space="preserve">lo que se </w:t>
      </w:r>
      <w:r w:rsidR="0066318B">
        <w:t>menciona</w:t>
      </w:r>
      <w:r>
        <w:t xml:space="preserve"> en la noticia</w:t>
      </w:r>
      <w:r w:rsidR="00B14DBE">
        <w:t>,</w:t>
      </w:r>
      <w:r>
        <w:t xml:space="preserve"> </w:t>
      </w:r>
      <w:r w:rsidR="0066318B">
        <w:t xml:space="preserve">con la finalidad </w:t>
      </w:r>
      <w:r>
        <w:t xml:space="preserve">de reafirmar lo escrito en </w:t>
      </w:r>
      <w:r w:rsidR="00B14DBE">
        <w:t>el articulo</w:t>
      </w:r>
      <w:r>
        <w:t xml:space="preserve">.  </w:t>
      </w:r>
    </w:p>
    <w:p w14:paraId="6DBA3FCD" w14:textId="77777777" w:rsidR="0014229E" w:rsidRPr="00813B46" w:rsidRDefault="0014229E" w:rsidP="0014229E">
      <w:pPr>
        <w:jc w:val="center"/>
      </w:pPr>
    </w:p>
    <w:sectPr w:rsidR="0014229E" w:rsidRPr="00813B46">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98D1A" w14:textId="77777777" w:rsidR="00924C97" w:rsidRDefault="00924C97" w:rsidP="00472B23">
      <w:pPr>
        <w:spacing w:after="0" w:line="240" w:lineRule="auto"/>
      </w:pPr>
      <w:r>
        <w:separator/>
      </w:r>
    </w:p>
  </w:endnote>
  <w:endnote w:type="continuationSeparator" w:id="0">
    <w:p w14:paraId="71515BA1" w14:textId="77777777" w:rsidR="00924C97" w:rsidRDefault="00924C97" w:rsidP="00472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E172A8" w14:textId="77777777" w:rsidR="00924C97" w:rsidRDefault="00924C97" w:rsidP="00472B23">
      <w:pPr>
        <w:spacing w:after="0" w:line="240" w:lineRule="auto"/>
      </w:pPr>
      <w:r>
        <w:separator/>
      </w:r>
    </w:p>
  </w:footnote>
  <w:footnote w:type="continuationSeparator" w:id="0">
    <w:p w14:paraId="0F2410D7" w14:textId="77777777" w:rsidR="00924C97" w:rsidRDefault="00924C97" w:rsidP="00472B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86A29" w14:textId="4EF03E06" w:rsidR="00472B23" w:rsidRDefault="00472B23">
    <w:pPr>
      <w:pStyle w:val="Encabezado"/>
      <w:rPr>
        <w:b/>
        <w:sz w:val="36"/>
        <w:szCs w:val="36"/>
        <w:lang w:val="es-MX"/>
      </w:rPr>
    </w:pPr>
    <w:r w:rsidRPr="00472B23">
      <w:rPr>
        <w:b/>
        <w:sz w:val="36"/>
        <w:szCs w:val="36"/>
        <w:lang w:val="es-MX"/>
      </w:rPr>
      <w:t>SEGUIMIENTO DE MEDIOS</w:t>
    </w:r>
    <w:r w:rsidR="003D6F39">
      <w:rPr>
        <w:b/>
        <w:sz w:val="36"/>
        <w:szCs w:val="36"/>
        <w:lang w:val="es-MX"/>
      </w:rPr>
      <w:t xml:space="preserve"> VANGUARDIA SECCIÓN BUCARAMANGA</w:t>
    </w:r>
  </w:p>
  <w:p w14:paraId="769D8FB7" w14:textId="77777777" w:rsidR="00472B23" w:rsidRPr="00472B23" w:rsidRDefault="00472B23">
    <w:pPr>
      <w:pStyle w:val="Encabezado"/>
      <w:rPr>
        <w:b/>
        <w:sz w:val="36"/>
        <w:szCs w:val="36"/>
        <w:lang w:val="es-MX"/>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836"/>
    <w:rsid w:val="00090282"/>
    <w:rsid w:val="001316DF"/>
    <w:rsid w:val="0014229E"/>
    <w:rsid w:val="001F7B61"/>
    <w:rsid w:val="002339EC"/>
    <w:rsid w:val="00281939"/>
    <w:rsid w:val="002D173B"/>
    <w:rsid w:val="002E6B50"/>
    <w:rsid w:val="003D6F39"/>
    <w:rsid w:val="00472B23"/>
    <w:rsid w:val="004C48D3"/>
    <w:rsid w:val="004E4836"/>
    <w:rsid w:val="0066318B"/>
    <w:rsid w:val="0068571A"/>
    <w:rsid w:val="00813B46"/>
    <w:rsid w:val="0082099E"/>
    <w:rsid w:val="00865096"/>
    <w:rsid w:val="00905C3C"/>
    <w:rsid w:val="00924C97"/>
    <w:rsid w:val="0098418A"/>
    <w:rsid w:val="00AC5E47"/>
    <w:rsid w:val="00AD29F1"/>
    <w:rsid w:val="00B14DBE"/>
    <w:rsid w:val="00BC7D12"/>
    <w:rsid w:val="00C058C2"/>
    <w:rsid w:val="00D66B03"/>
    <w:rsid w:val="00E71A42"/>
    <w:rsid w:val="00EC43CE"/>
    <w:rsid w:val="00F16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7E834"/>
  <w15:chartTrackingRefBased/>
  <w15:docId w15:val="{DDD86B29-F6A6-49C9-A14A-9B2BE0BB4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281939"/>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472B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2B23"/>
    <w:rPr>
      <w:lang w:val="es-CO"/>
    </w:rPr>
  </w:style>
  <w:style w:type="paragraph" w:styleId="Piedepgina">
    <w:name w:val="footer"/>
    <w:basedOn w:val="Normal"/>
    <w:link w:val="PiedepginaCar"/>
    <w:uiPriority w:val="99"/>
    <w:unhideWhenUsed/>
    <w:rsid w:val="00472B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2B23"/>
    <w:rPr>
      <w:lang w:val="es-CO"/>
    </w:rPr>
  </w:style>
  <w:style w:type="table" w:styleId="Tablaconcuadrcula">
    <w:name w:val="Table Grid"/>
    <w:basedOn w:val="Tablanormal"/>
    <w:uiPriority w:val="39"/>
    <w:rsid w:val="003D6F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4.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2.xm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chart" Target="charts/chart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wnloads\rejilla_an&#225;lisis_semi&#243;tico_vanguardia%2024%20de%20febreo-09%20de%20marz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wnloads\rejilla_an&#225;lisis_semi&#243;tico_vanguardia%2024%20de%20febreo-09%20de%20marz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wnloads\rejilla_an&#225;lisis_semi&#243;tico_vanguardia%2024%20de%20febreo-09%20de%20marz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ownloads\rejilla_an&#225;lisis_semi&#243;tico_vanguardia%2024%20de%20febreo-09%20de%20marz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ownloads\rejilla_an&#225;lisis_semi&#243;tico_vanguardia%2024%20de%20febreo-09%20de%20marzo.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[rejilla_análisis_semiótico_vanguardia 24 de febreo-09 de marzo.xlsx]Tablas y tortas!TablaDinámica3</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Titular</a:t>
            </a:r>
          </a:p>
        </c:rich>
      </c:tx>
      <c:layout>
        <c:manualLayout>
          <c:xMode val="edge"/>
          <c:yMode val="edge"/>
          <c:x val="0.44666666666666666"/>
          <c:y val="0.13323855351414407"/>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ivotFmts>
      <c:pivotFmt>
        <c:idx val="0"/>
      </c:pivotFmt>
      <c:pivotFmt>
        <c:idx val="1"/>
        <c:spPr>
          <a:solidFill>
            <a:schemeClr val="accent1"/>
          </a:solidFill>
          <a:ln>
            <a:noFill/>
          </a:ln>
          <a:effectLst>
            <a:outerShdw blurRad="254000" sx="102000" sy="102000" algn="ctr" rotWithShape="0">
              <a:prstClr val="black">
                <a:alpha val="20000"/>
              </a:prstClr>
            </a:outerShdw>
          </a:effectLst>
          <a:sp3d/>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a:sp3d/>
        </c:spPr>
        <c:dLbl>
          <c:idx val="0"/>
          <c:layout>
            <c:manualLayout>
              <c:x val="-1.7363735783027173E-2"/>
              <c:y val="8.4673009623797021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
        <c:spPr>
          <a:solidFill>
            <a:schemeClr val="accent4"/>
          </a:solidFill>
          <a:ln>
            <a:noFill/>
          </a:ln>
          <a:effectLst>
            <a:outerShdw blurRad="254000" sx="102000" sy="102000" algn="ctr" rotWithShape="0">
              <a:prstClr val="black">
                <a:alpha val="20000"/>
              </a:prstClr>
            </a:outerShdw>
          </a:effectLst>
          <a:sp3d/>
        </c:spPr>
        <c:dLbl>
          <c:idx val="0"/>
          <c:layout>
            <c:manualLayout>
              <c:x val="8.8784339457567807E-2"/>
              <c:y val="3.8049722951297715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
        <c:spPr>
          <a:solidFill>
            <a:schemeClr val="accent3"/>
          </a:solidFill>
          <a:ln>
            <a:noFill/>
          </a:ln>
          <a:effectLst>
            <a:outerShdw blurRad="254000" sx="102000" sy="102000" algn="ctr" rotWithShape="0">
              <a:prstClr val="black">
                <a:alpha val="20000"/>
              </a:prstClr>
            </a:outerShdw>
          </a:effectLst>
          <a:sp3d/>
        </c:spPr>
        <c:dLbl>
          <c:idx val="0"/>
          <c:layout>
            <c:manualLayout>
              <c:x val="9.9681321084864397E-2"/>
              <c:y val="-0.1550732720909886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
        <c:spPr>
          <a:solidFill>
            <a:schemeClr val="accent2"/>
          </a:solidFill>
          <a:ln>
            <a:noFill/>
          </a:ln>
          <a:effectLst>
            <a:outerShdw blurRad="254000" sx="102000" sy="102000" algn="ctr" rotWithShape="0">
              <a:prstClr val="black">
                <a:alpha val="20000"/>
              </a:prstClr>
            </a:outerShdw>
          </a:effectLst>
          <a:sp3d/>
        </c:spPr>
        <c:dLbl>
          <c:idx val="0"/>
          <c:layout>
            <c:manualLayout>
              <c:x val="-0.14149475065616798"/>
              <c:y val="-3.356627296587926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outerShdw blurRad="254000" sx="102000" sy="102000" algn="ctr" rotWithShape="0">
              <a:prstClr val="black">
                <a:alpha val="20000"/>
              </a:prstClr>
            </a:outerShdw>
          </a:effectLst>
          <a:sp3d/>
        </c:spPr>
        <c:dLbl>
          <c:idx val="0"/>
          <c:layout>
            <c:manualLayout>
              <c:x val="-1.7363735783027173E-2"/>
              <c:y val="8.4673009623797021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a:outerShdw blurRad="254000" sx="102000" sy="102000" algn="ctr" rotWithShape="0">
              <a:prstClr val="black">
                <a:alpha val="20000"/>
              </a:prstClr>
            </a:outerShdw>
          </a:effectLst>
          <a:sp3d/>
        </c:spPr>
        <c:dLbl>
          <c:idx val="0"/>
          <c:layout>
            <c:manualLayout>
              <c:x val="-0.14149475065616798"/>
              <c:y val="-3.356627296587926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a:outerShdw blurRad="254000" sx="102000" sy="102000" algn="ctr" rotWithShape="0">
              <a:prstClr val="black">
                <a:alpha val="20000"/>
              </a:prstClr>
            </a:outerShdw>
          </a:effectLst>
          <a:sp3d/>
        </c:spPr>
        <c:dLbl>
          <c:idx val="0"/>
          <c:layout>
            <c:manualLayout>
              <c:x val="9.9681321084864397E-2"/>
              <c:y val="-0.1550732720909886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a:outerShdw blurRad="254000" sx="102000" sy="102000" algn="ctr" rotWithShape="0">
              <a:prstClr val="black">
                <a:alpha val="20000"/>
              </a:prstClr>
            </a:outerShdw>
          </a:effectLst>
          <a:sp3d/>
        </c:spPr>
        <c:dLbl>
          <c:idx val="0"/>
          <c:layout>
            <c:manualLayout>
              <c:x val="8.8784339457567807E-2"/>
              <c:y val="3.8049722951297715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a:outerShdw blurRad="254000" sx="102000" sy="102000" algn="ctr" rotWithShape="0">
              <a:prstClr val="black">
                <a:alpha val="20000"/>
              </a:prstClr>
            </a:outerShdw>
          </a:effectLst>
          <a:sp3d/>
        </c:spPr>
        <c:dLbl>
          <c:idx val="0"/>
          <c:layout>
            <c:manualLayout>
              <c:x val="-1.7363735783027173E-2"/>
              <c:y val="8.4673009623797021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a:outerShdw blurRad="254000" sx="102000" sy="102000" algn="ctr" rotWithShape="0">
              <a:prstClr val="black">
                <a:alpha val="20000"/>
              </a:prstClr>
            </a:outerShdw>
          </a:effectLst>
          <a:sp3d/>
        </c:spPr>
        <c:dLbl>
          <c:idx val="0"/>
          <c:layout>
            <c:manualLayout>
              <c:x val="-0.14149475065616798"/>
              <c:y val="-3.356627296587926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a:outerShdw blurRad="254000" sx="102000" sy="102000" algn="ctr" rotWithShape="0">
              <a:prstClr val="black">
                <a:alpha val="20000"/>
              </a:prstClr>
            </a:outerShdw>
          </a:effectLst>
          <a:sp3d/>
        </c:spPr>
        <c:dLbl>
          <c:idx val="0"/>
          <c:layout>
            <c:manualLayout>
              <c:x val="9.9681321084864397E-2"/>
              <c:y val="-0.1550732720909886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a:outerShdw blurRad="254000" sx="102000" sy="102000" algn="ctr" rotWithShape="0">
              <a:prstClr val="black">
                <a:alpha val="20000"/>
              </a:prstClr>
            </a:outerShdw>
          </a:effectLst>
          <a:sp3d/>
        </c:spPr>
        <c:dLbl>
          <c:idx val="0"/>
          <c:layout>
            <c:manualLayout>
              <c:x val="8.8784339457567807E-2"/>
              <c:y val="3.8049722951297715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'Tablas y tortas'!$B$3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5E0-450C-9AC1-69677C7B4AC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5E0-450C-9AC1-69677C7B4AC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5E0-450C-9AC1-69677C7B4AC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5E0-450C-9AC1-69677C7B4ACB}"/>
              </c:ext>
            </c:extLst>
          </c:dPt>
          <c:dLbls>
            <c:dLbl>
              <c:idx val="0"/>
              <c:layout>
                <c:manualLayout>
                  <c:x val="-1.7363735783027173E-2"/>
                  <c:y val="8.467300962379702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5E0-450C-9AC1-69677C7B4ACB}"/>
                </c:ext>
                <c:ext xmlns:c15="http://schemas.microsoft.com/office/drawing/2012/chart" uri="{CE6537A1-D6FC-4f65-9D91-7224C49458BB}"/>
              </c:extLst>
            </c:dLbl>
            <c:dLbl>
              <c:idx val="1"/>
              <c:layout>
                <c:manualLayout>
                  <c:x val="-0.14149475065616798"/>
                  <c:y val="-3.356627296587926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5E0-450C-9AC1-69677C7B4ACB}"/>
                </c:ext>
                <c:ext xmlns:c15="http://schemas.microsoft.com/office/drawing/2012/chart" uri="{CE6537A1-D6FC-4f65-9D91-7224C49458BB}"/>
              </c:extLst>
            </c:dLbl>
            <c:dLbl>
              <c:idx val="2"/>
              <c:layout>
                <c:manualLayout>
                  <c:x val="9.9681321084864397E-2"/>
                  <c:y val="-0.1550732720909886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5E0-450C-9AC1-69677C7B4ACB}"/>
                </c:ext>
                <c:ext xmlns:c15="http://schemas.microsoft.com/office/drawing/2012/chart" uri="{CE6537A1-D6FC-4f65-9D91-7224C49458BB}"/>
              </c:extLst>
            </c:dLbl>
            <c:dLbl>
              <c:idx val="3"/>
              <c:layout>
                <c:manualLayout>
                  <c:x val="8.8784339457567807E-2"/>
                  <c:y val="3.804972295129771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F5E0-450C-9AC1-69677C7B4ACB}"/>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'Tablas y tortas'!$A$4:$A$8</c:f>
              <c:strCache>
                <c:ptCount val="4"/>
                <c:pt idx="0">
                  <c:v>Confuso</c:v>
                </c:pt>
                <c:pt idx="1">
                  <c:v>Expectativo</c:v>
                </c:pt>
                <c:pt idx="2">
                  <c:v>Sensacionalista</c:v>
                </c:pt>
                <c:pt idx="3">
                  <c:v>Técnico</c:v>
                </c:pt>
              </c:strCache>
            </c:strRef>
          </c:cat>
          <c:val>
            <c:numRef>
              <c:f>'Tablas y tortas'!$B$4:$B$8</c:f>
              <c:numCache>
                <c:formatCode>General</c:formatCode>
                <c:ptCount val="4"/>
                <c:pt idx="0">
                  <c:v>1</c:v>
                </c:pt>
                <c:pt idx="1">
                  <c:v>14</c:v>
                </c:pt>
                <c:pt idx="2">
                  <c:v>5</c:v>
                </c:pt>
                <c:pt idx="3">
                  <c:v>8</c:v>
                </c:pt>
              </c:numCache>
            </c:numRef>
          </c:val>
          <c:extLst xmlns:c16r2="http://schemas.microsoft.com/office/drawing/2015/06/chart">
            <c:ext xmlns:c16="http://schemas.microsoft.com/office/drawing/2014/chart" uri="{C3380CC4-5D6E-409C-BE32-E72D297353CC}">
              <c16:uniqueId val="{00000008-F5E0-450C-9AC1-69677C7B4AC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[rejilla_análisis_semiótico_vanguardia 24 de febreo-09 de marzo.xlsx]Tablas y tortas!TablaDinámica5</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Fuentes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ivotFmts>
      <c:pivotFmt>
        <c:idx val="0"/>
      </c:pivotFmt>
      <c:pivotFmt>
        <c:idx val="1"/>
        <c:spPr>
          <a:solidFill>
            <a:schemeClr val="accent1"/>
          </a:solidFill>
          <a:ln>
            <a:noFill/>
          </a:ln>
          <a:effectLst>
            <a:outerShdw blurRad="254000" sx="102000" sy="102000" algn="ctr" rotWithShape="0">
              <a:prstClr val="black">
                <a:alpha val="20000"/>
              </a:prstClr>
            </a:outerShdw>
          </a:effectLst>
          <a:sp3d/>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2"/>
          </a:solidFill>
          <a:ln>
            <a:noFill/>
          </a:ln>
          <a:effectLst>
            <a:outerShdw blurRad="254000" sx="102000" sy="102000" algn="ctr" rotWithShape="0">
              <a:prstClr val="black">
                <a:alpha val="20000"/>
              </a:prstClr>
            </a:outerShdw>
          </a:effectLst>
          <a:sp3d/>
        </c:spPr>
        <c:dLbl>
          <c:idx val="0"/>
          <c:layout>
            <c:manualLayout>
              <c:x val="-6.9223534558180227E-2"/>
              <c:y val="-8.581729367162446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a:outerShdw blurRad="254000" sx="102000" sy="102000" algn="ctr" rotWithShape="0">
              <a:prstClr val="black">
                <a:alpha val="20000"/>
              </a:prstClr>
            </a:outerShdw>
          </a:effectLst>
          <a:sp3d/>
        </c:spPr>
        <c:dLbl>
          <c:idx val="0"/>
          <c:layout>
            <c:manualLayout>
              <c:x val="-9.4437664041994857E-2"/>
              <c:y val="6.8197360746573343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
        <c:spPr>
          <a:solidFill>
            <a:schemeClr val="accent4"/>
          </a:solidFill>
          <a:ln>
            <a:noFill/>
          </a:ln>
          <a:effectLst>
            <a:outerShdw blurRad="254000" sx="102000" sy="102000" algn="ctr" rotWithShape="0">
              <a:prstClr val="black">
                <a:alpha val="20000"/>
              </a:prstClr>
            </a:outerShdw>
          </a:effectLst>
          <a:sp3d/>
        </c:spPr>
        <c:dLbl>
          <c:idx val="0"/>
          <c:layout>
            <c:manualLayout>
              <c:x val="4.6082895888014001E-2"/>
              <c:y val="8.444444444444444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a:outerShdw blurRad="254000" sx="102000" sy="102000" algn="ctr" rotWithShape="0">
              <a:prstClr val="black">
                <a:alpha val="20000"/>
              </a:prstClr>
            </a:outerShdw>
          </a:effectLst>
          <a:sp3d/>
        </c:spPr>
        <c:dLbl>
          <c:idx val="0"/>
          <c:layout>
            <c:manualLayout>
              <c:x val="-9.4437664041994857E-2"/>
              <c:y val="6.8197360746573343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outerShdw blurRad="254000" sx="102000" sy="102000" algn="ctr" rotWithShape="0">
              <a:prstClr val="black">
                <a:alpha val="20000"/>
              </a:prstClr>
            </a:outerShdw>
          </a:effectLst>
          <a:sp3d/>
        </c:spPr>
        <c:dLbl>
          <c:idx val="0"/>
          <c:layout>
            <c:manualLayout>
              <c:x val="-6.9223534558180227E-2"/>
              <c:y val="-8.581729367162446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a:outerShdw blurRad="254000" sx="102000" sy="102000" algn="ctr" rotWithShape="0">
              <a:prstClr val="black">
                <a:alpha val="20000"/>
              </a:prstClr>
            </a:outerShdw>
          </a:effectLst>
          <a:sp3d/>
        </c:spPr>
      </c:pivotFmt>
      <c:pivotFmt>
        <c:idx val="9"/>
        <c:spPr>
          <a:solidFill>
            <a:schemeClr val="accent1"/>
          </a:solidFill>
          <a:ln>
            <a:noFill/>
          </a:ln>
          <a:effectLst>
            <a:outerShdw blurRad="254000" sx="102000" sy="102000" algn="ctr" rotWithShape="0">
              <a:prstClr val="black">
                <a:alpha val="20000"/>
              </a:prstClr>
            </a:outerShdw>
          </a:effectLst>
          <a:sp3d/>
        </c:spPr>
        <c:dLbl>
          <c:idx val="0"/>
          <c:layout>
            <c:manualLayout>
              <c:x val="4.6082895888014001E-2"/>
              <c:y val="8.444444444444444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a:outerShdw blurRad="254000" sx="102000" sy="102000" algn="ctr" rotWithShape="0">
              <a:prstClr val="black">
                <a:alpha val="20000"/>
              </a:prstClr>
            </a:outerShdw>
          </a:effectLst>
          <a:sp3d/>
        </c:spPr>
        <c:dLbl>
          <c:idx val="0"/>
          <c:layout>
            <c:manualLayout>
              <c:x val="-9.4437664041994857E-2"/>
              <c:y val="6.8197360746573343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a:outerShdw blurRad="254000" sx="102000" sy="102000" algn="ctr" rotWithShape="0">
              <a:prstClr val="black">
                <a:alpha val="20000"/>
              </a:prstClr>
            </a:outerShdw>
          </a:effectLst>
          <a:sp3d/>
        </c:spPr>
        <c:dLbl>
          <c:idx val="0"/>
          <c:layout>
            <c:manualLayout>
              <c:x val="-6.9223534558180227E-2"/>
              <c:y val="-8.581729367162446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a:outerShdw blurRad="254000" sx="102000" sy="102000" algn="ctr" rotWithShape="0">
              <a:prstClr val="black">
                <a:alpha val="20000"/>
              </a:prstClr>
            </a:outerShdw>
          </a:effectLst>
          <a:sp3d/>
        </c:spPr>
      </c:pivotFmt>
      <c:pivotFmt>
        <c:idx val="14"/>
        <c:spPr>
          <a:solidFill>
            <a:schemeClr val="accent1"/>
          </a:solidFill>
          <a:ln>
            <a:noFill/>
          </a:ln>
          <a:effectLst>
            <a:outerShdw blurRad="254000" sx="102000" sy="102000" algn="ctr" rotWithShape="0">
              <a:prstClr val="black">
                <a:alpha val="20000"/>
              </a:prstClr>
            </a:outerShdw>
          </a:effectLst>
          <a:sp3d/>
        </c:spPr>
        <c:dLbl>
          <c:idx val="0"/>
          <c:layout>
            <c:manualLayout>
              <c:x val="4.6082895888014001E-2"/>
              <c:y val="8.444444444444444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8590077282006415"/>
          <c:w val="0.77074518810148729"/>
          <c:h val="0.66317330125400986"/>
        </c:manualLayout>
      </c:layout>
      <c:pie3DChart>
        <c:varyColors val="1"/>
        <c:ser>
          <c:idx val="0"/>
          <c:order val="0"/>
          <c:tx>
            <c:strRef>
              <c:f>'Tablas y tortas'!$B$19</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531-440D-BC12-7898C5544A4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531-440D-BC12-7898C5544A4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531-440D-BC12-7898C5544A4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531-440D-BC12-7898C5544A4F}"/>
              </c:ext>
            </c:extLst>
          </c:dPt>
          <c:dLbls>
            <c:dLbl>
              <c:idx val="0"/>
              <c:layout>
                <c:manualLayout>
                  <c:x val="-9.4437664041994857E-2"/>
                  <c:y val="6.819736074657334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531-440D-BC12-7898C5544A4F}"/>
                </c:ext>
                <c:ext xmlns:c15="http://schemas.microsoft.com/office/drawing/2012/chart" uri="{CE6537A1-D6FC-4f65-9D91-7224C49458BB}"/>
              </c:extLst>
            </c:dLbl>
            <c:dLbl>
              <c:idx val="1"/>
              <c:layout>
                <c:manualLayout>
                  <c:x val="-6.9223534558180227E-2"/>
                  <c:y val="-8.581729367162446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531-440D-BC12-7898C5544A4F}"/>
                </c:ext>
                <c:ext xmlns:c15="http://schemas.microsoft.com/office/drawing/2012/chart" uri="{CE6537A1-D6FC-4f65-9D91-7224C49458BB}"/>
              </c:extLst>
            </c:dLbl>
            <c:dLbl>
              <c:idx val="3"/>
              <c:layout>
                <c:manualLayout>
                  <c:x val="4.6082895888014001E-2"/>
                  <c:y val="8.444444444444444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9531-440D-BC12-7898C5544A4F}"/>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'Tablas y tortas'!$A$20:$A$24</c:f>
              <c:strCache>
                <c:ptCount val="4"/>
                <c:pt idx="0">
                  <c:v>Afectado</c:v>
                </c:pt>
                <c:pt idx="1">
                  <c:v>Experto</c:v>
                </c:pt>
                <c:pt idx="2">
                  <c:v>Oficial</c:v>
                </c:pt>
                <c:pt idx="3">
                  <c:v>Sin fuente</c:v>
                </c:pt>
              </c:strCache>
            </c:strRef>
          </c:cat>
          <c:val>
            <c:numRef>
              <c:f>'Tablas y tortas'!$B$20:$B$24</c:f>
              <c:numCache>
                <c:formatCode>General</c:formatCode>
                <c:ptCount val="4"/>
                <c:pt idx="0">
                  <c:v>10</c:v>
                </c:pt>
                <c:pt idx="1">
                  <c:v>2</c:v>
                </c:pt>
                <c:pt idx="2">
                  <c:v>22</c:v>
                </c:pt>
                <c:pt idx="3">
                  <c:v>3</c:v>
                </c:pt>
              </c:numCache>
            </c:numRef>
          </c:val>
          <c:extLst xmlns:c16r2="http://schemas.microsoft.com/office/drawing/2015/06/chart">
            <c:ext xmlns:c16="http://schemas.microsoft.com/office/drawing/2014/chart" uri="{C3380CC4-5D6E-409C-BE32-E72D297353CC}">
              <c16:uniqueId val="{00000008-9531-440D-BC12-7898C5544A4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[rejilla_análisis_semiótico_vanguardia 24 de febreo-09 de marzo.xlsx]Tablas y tortas!TablaDinámica6</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Sesgo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ivotFmts>
      <c:pivotFmt>
        <c:idx val="0"/>
      </c:pivotFmt>
      <c:pivotFmt>
        <c:idx val="1"/>
        <c:spPr>
          <a:solidFill>
            <a:schemeClr val="accent1"/>
          </a:solidFill>
          <a:ln>
            <a:noFill/>
          </a:ln>
          <a:effectLst>
            <a:outerShdw blurRad="254000" sx="102000" sy="102000" algn="ctr" rotWithShape="0">
              <a:prstClr val="black">
                <a:alpha val="20000"/>
              </a:prstClr>
            </a:outerShdw>
          </a:effectLst>
          <a:sp3d/>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a:outerShdw blurRad="254000" sx="102000" sy="102000" algn="ctr" rotWithShape="0">
              <a:prstClr val="black">
                <a:alpha val="20000"/>
              </a:prstClr>
            </a:outerShdw>
          </a:effectLst>
          <a:sp3d/>
        </c:spPr>
      </c:pivotFmt>
      <c:pivotFmt>
        <c:idx val="4"/>
        <c:spPr>
          <a:solidFill>
            <a:schemeClr val="accent1"/>
          </a:solidFill>
          <a:ln>
            <a:noFill/>
          </a:ln>
          <a:effectLst>
            <a:outerShdw blurRad="254000" sx="102000" sy="102000" algn="ctr" rotWithShape="0">
              <a:prstClr val="black">
                <a:alpha val="20000"/>
              </a:prstClr>
            </a:outerShdw>
          </a:effectLst>
          <a:sp3d/>
        </c:spPr>
      </c:pivotFmt>
      <c:pivotFmt>
        <c:idx val="5"/>
        <c:spPr>
          <a:solidFill>
            <a:schemeClr val="accent1"/>
          </a:solidFill>
          <a:ln>
            <a:noFill/>
          </a:ln>
          <a:effectLst>
            <a:outerShdw blurRad="254000" sx="102000" sy="102000" algn="ctr" rotWithShape="0">
              <a:prstClr val="black">
                <a:alpha val="20000"/>
              </a:prstClr>
            </a:outerShdw>
          </a:effectLst>
          <a:sp3d/>
        </c:spPr>
      </c:pivotFmt>
      <c:pivotFmt>
        <c:idx val="6"/>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outerShdw blurRad="254000" sx="102000" sy="102000" algn="ctr" rotWithShape="0">
              <a:prstClr val="black">
                <a:alpha val="20000"/>
              </a:prstClr>
            </a:outerShdw>
          </a:effectLst>
          <a:sp3d/>
        </c:spPr>
      </c:pivotFmt>
      <c:pivotFmt>
        <c:idx val="8"/>
        <c:spPr>
          <a:solidFill>
            <a:schemeClr val="accent1"/>
          </a:solidFill>
          <a:ln>
            <a:noFill/>
          </a:ln>
          <a:effectLst>
            <a:outerShdw blurRad="254000" sx="102000" sy="102000" algn="ctr" rotWithShape="0">
              <a:prstClr val="black">
                <a:alpha val="20000"/>
              </a:prstClr>
            </a:outerShdw>
          </a:effectLst>
          <a:sp3d/>
        </c:spPr>
      </c:pivotFmt>
      <c:pivotFmt>
        <c:idx val="9"/>
        <c:spPr>
          <a:solidFill>
            <a:schemeClr val="accent1"/>
          </a:solidFill>
          <a:ln>
            <a:noFill/>
          </a:ln>
          <a:effectLst>
            <a:outerShdw blurRad="254000" sx="102000" sy="102000" algn="ctr" rotWithShape="0">
              <a:prstClr val="black">
                <a:alpha val="20000"/>
              </a:prstClr>
            </a:outerShdw>
          </a:effectLst>
          <a:sp3d/>
        </c:spPr>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'Tablas y tortas'!$B$36</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00E-4528-A3A4-AFB93DA9C90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00E-4528-A3A4-AFB93DA9C90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00E-4528-A3A4-AFB93DA9C90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'Tablas y tortas'!$A$37:$A$40</c:f>
              <c:strCache>
                <c:ptCount val="3"/>
                <c:pt idx="0">
                  <c:v>Negativo</c:v>
                </c:pt>
                <c:pt idx="1">
                  <c:v>Neutro</c:v>
                </c:pt>
                <c:pt idx="2">
                  <c:v>Positivo</c:v>
                </c:pt>
              </c:strCache>
            </c:strRef>
          </c:cat>
          <c:val>
            <c:numRef>
              <c:f>'Tablas y tortas'!$B$37:$B$40</c:f>
              <c:numCache>
                <c:formatCode>General</c:formatCode>
                <c:ptCount val="3"/>
                <c:pt idx="0">
                  <c:v>5</c:v>
                </c:pt>
                <c:pt idx="1">
                  <c:v>17</c:v>
                </c:pt>
                <c:pt idx="2">
                  <c:v>6</c:v>
                </c:pt>
              </c:numCache>
            </c:numRef>
          </c:val>
          <c:extLst xmlns:c16r2="http://schemas.microsoft.com/office/drawing/2015/06/chart">
            <c:ext xmlns:c16="http://schemas.microsoft.com/office/drawing/2014/chart" uri="{C3380CC4-5D6E-409C-BE32-E72D297353CC}">
              <c16:uniqueId val="{00000006-300E-4528-A3A4-AFB93DA9C90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[rejilla_análisis_semiótico_vanguardia 24 de febreo-09 de marzo.xlsx]Tablas y tortas!TablaDinámica7</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Fotografía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ivotFmts>
      <c:pivotFmt>
        <c:idx val="0"/>
      </c:pivotFmt>
      <c:pivotFmt>
        <c:idx val="1"/>
        <c:spPr>
          <a:solidFill>
            <a:schemeClr val="accent1"/>
          </a:solidFill>
          <a:ln>
            <a:noFill/>
          </a:ln>
          <a:effectLst>
            <a:outerShdw blurRad="254000" sx="102000" sy="102000" algn="ctr" rotWithShape="0">
              <a:prstClr val="black">
                <a:alpha val="20000"/>
              </a:prstClr>
            </a:outerShdw>
          </a:effectLst>
          <a:sp3d/>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a:outerShdw blurRad="254000" sx="102000" sy="102000" algn="ctr" rotWithShape="0">
              <a:prstClr val="black">
                <a:alpha val="20000"/>
              </a:prstClr>
            </a:outerShdw>
          </a:effectLst>
          <a:sp3d/>
        </c:spPr>
      </c:pivotFmt>
      <c:pivotFmt>
        <c:idx val="4"/>
        <c:spPr>
          <a:solidFill>
            <a:schemeClr val="accent1"/>
          </a:solidFill>
          <a:ln>
            <a:noFill/>
          </a:ln>
          <a:effectLst>
            <a:outerShdw blurRad="254000" sx="102000" sy="102000" algn="ctr" rotWithShape="0">
              <a:prstClr val="black">
                <a:alpha val="20000"/>
              </a:prstClr>
            </a:outerShdw>
          </a:effectLst>
          <a:sp3d/>
        </c:spPr>
      </c:pivotFmt>
      <c:pivotFmt>
        <c:idx val="5"/>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a:outerShdw blurRad="254000" sx="102000" sy="102000" algn="ctr" rotWithShape="0">
              <a:prstClr val="black">
                <a:alpha val="20000"/>
              </a:prstClr>
            </a:outerShdw>
          </a:effectLst>
          <a:sp3d/>
        </c:spPr>
      </c:pivotFmt>
      <c:pivotFmt>
        <c:idx val="7"/>
        <c:spPr>
          <a:solidFill>
            <a:schemeClr val="accent1"/>
          </a:solidFill>
          <a:ln>
            <a:noFill/>
          </a:ln>
          <a:effectLst>
            <a:outerShdw blurRad="254000" sx="102000" sy="102000" algn="ctr" rotWithShape="0">
              <a:prstClr val="black">
                <a:alpha val="20000"/>
              </a:prstClr>
            </a:outerShdw>
          </a:effectLst>
          <a:sp3d/>
        </c:spPr>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'Tablas y tortas'!$B$53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0C3-42F1-925C-12062D4B459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0C3-42F1-925C-12062D4B459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'Tablas y tortas'!$A$54:$A$56</c:f>
              <c:strCache>
                <c:ptCount val="2"/>
                <c:pt idx="0">
                  <c:v>Archivo</c:v>
                </c:pt>
                <c:pt idx="1">
                  <c:v>Día</c:v>
                </c:pt>
              </c:strCache>
            </c:strRef>
          </c:cat>
          <c:val>
            <c:numRef>
              <c:f>'Tablas y tortas'!$B$54:$B$56</c:f>
              <c:numCache>
                <c:formatCode>General</c:formatCode>
                <c:ptCount val="2"/>
                <c:pt idx="0">
                  <c:v>14</c:v>
                </c:pt>
                <c:pt idx="1">
                  <c:v>14</c:v>
                </c:pt>
              </c:numCache>
            </c:numRef>
          </c:val>
          <c:extLst xmlns:c16r2="http://schemas.microsoft.com/office/drawing/2015/06/chart">
            <c:ext xmlns:c16="http://schemas.microsoft.com/office/drawing/2014/chart" uri="{C3380CC4-5D6E-409C-BE32-E72D297353CC}">
              <c16:uniqueId val="{00000004-90C3-42F1-925C-12062D4B459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[rejilla_análisis_semiótico_vanguardia 24 de febreo-09 de marzo.xlsx]Tablas y tortas!TablaDinámica8</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Tipo de imagen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ivotFmts>
      <c:pivotFmt>
        <c:idx val="0"/>
      </c:pivotFmt>
      <c:pivotFmt>
        <c:idx val="1"/>
        <c:spPr>
          <a:solidFill>
            <a:schemeClr val="accent1"/>
          </a:solidFill>
          <a:ln>
            <a:noFill/>
          </a:ln>
          <a:effectLst>
            <a:outerShdw blurRad="254000" sx="102000" sy="102000" algn="ctr" rotWithShape="0">
              <a:prstClr val="black">
                <a:alpha val="20000"/>
              </a:prstClr>
            </a:outerShdw>
          </a:effectLst>
          <a:sp3d/>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a:outerShdw blurRad="254000" sx="102000" sy="102000" algn="ctr" rotWithShape="0">
              <a:prstClr val="black">
                <a:alpha val="20000"/>
              </a:prstClr>
            </a:outerShdw>
          </a:effectLst>
          <a:sp3d/>
        </c:spPr>
      </c:pivotFmt>
      <c:pivotFmt>
        <c:idx val="4"/>
        <c:spPr>
          <a:solidFill>
            <a:schemeClr val="accent1"/>
          </a:solidFill>
          <a:ln>
            <a:noFill/>
          </a:ln>
          <a:effectLst>
            <a:outerShdw blurRad="254000" sx="102000" sy="102000" algn="ctr" rotWithShape="0">
              <a:prstClr val="black">
                <a:alpha val="20000"/>
              </a:prstClr>
            </a:outerShdw>
          </a:effectLst>
          <a:sp3d/>
        </c:spPr>
      </c:pivotFmt>
      <c:pivotFmt>
        <c:idx val="5"/>
        <c:spPr>
          <a:solidFill>
            <a:schemeClr val="accent1"/>
          </a:solidFill>
          <a:ln>
            <a:noFill/>
          </a:ln>
          <a:effectLst>
            <a:outerShdw blurRad="254000" sx="102000" sy="102000" algn="ctr" rotWithShape="0">
              <a:prstClr val="black">
                <a:alpha val="20000"/>
              </a:prstClr>
            </a:outerShdw>
          </a:effectLst>
          <a:sp3d/>
        </c:spPr>
      </c:pivotFmt>
      <c:pivotFmt>
        <c:idx val="6"/>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outerShdw blurRad="254000" sx="102000" sy="102000" algn="ctr" rotWithShape="0">
              <a:prstClr val="black">
                <a:alpha val="20000"/>
              </a:prstClr>
            </a:outerShdw>
          </a:effectLst>
          <a:sp3d/>
        </c:spPr>
      </c:pivotFmt>
      <c:pivotFmt>
        <c:idx val="8"/>
        <c:spPr>
          <a:solidFill>
            <a:schemeClr val="accent1"/>
          </a:solidFill>
          <a:ln>
            <a:noFill/>
          </a:ln>
          <a:effectLst>
            <a:outerShdw blurRad="254000" sx="102000" sy="102000" algn="ctr" rotWithShape="0">
              <a:prstClr val="black">
                <a:alpha val="20000"/>
              </a:prstClr>
            </a:outerShdw>
          </a:effectLst>
          <a:sp3d/>
        </c:spPr>
      </c:pivotFmt>
      <c:pivotFmt>
        <c:idx val="9"/>
        <c:spPr>
          <a:solidFill>
            <a:schemeClr val="accent1"/>
          </a:solidFill>
          <a:ln>
            <a:noFill/>
          </a:ln>
          <a:effectLst>
            <a:outerShdw blurRad="254000" sx="102000" sy="102000" algn="ctr" rotWithShape="0">
              <a:prstClr val="black">
                <a:alpha val="20000"/>
              </a:prstClr>
            </a:outerShdw>
          </a:effectLst>
          <a:sp3d/>
        </c:spPr>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'Tablas y tortas'!$B$70</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3DA-43A6-990A-17353920D03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3DA-43A6-990A-17353920D03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3DA-43A6-990A-17353920D03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'Tablas y tortas'!$A$71:$A$74</c:f>
              <c:strCache>
                <c:ptCount val="3"/>
                <c:pt idx="0">
                  <c:v>Apoyo</c:v>
                </c:pt>
                <c:pt idx="1">
                  <c:v>Genérica</c:v>
                </c:pt>
                <c:pt idx="2">
                  <c:v>Ilustrativa</c:v>
                </c:pt>
              </c:strCache>
            </c:strRef>
          </c:cat>
          <c:val>
            <c:numRef>
              <c:f>'Tablas y tortas'!$B$71:$B$74</c:f>
              <c:numCache>
                <c:formatCode>General</c:formatCode>
                <c:ptCount val="3"/>
                <c:pt idx="0">
                  <c:v>4</c:v>
                </c:pt>
                <c:pt idx="1">
                  <c:v>14</c:v>
                </c:pt>
                <c:pt idx="2">
                  <c:v>10</c:v>
                </c:pt>
              </c:numCache>
            </c:numRef>
          </c:val>
          <c:extLst xmlns:c16r2="http://schemas.microsoft.com/office/drawing/2015/06/chart">
            <c:ext xmlns:c16="http://schemas.microsoft.com/office/drawing/2014/chart" uri="{C3380CC4-5D6E-409C-BE32-E72D297353CC}">
              <c16:uniqueId val="{00000006-C3DA-43A6-990A-17353920D03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802</Words>
  <Characters>4416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Q</cp:lastModifiedBy>
  <cp:revision>2</cp:revision>
  <dcterms:created xsi:type="dcterms:W3CDTF">2021-03-18T16:29:00Z</dcterms:created>
  <dcterms:modified xsi:type="dcterms:W3CDTF">2021-03-18T16:29:00Z</dcterms:modified>
</cp:coreProperties>
</file>