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Cuarto informe semiótico de medios: Vanguardia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siguiente informe es la continuación de informes anteriores que mantienen como punto de interés el mismo sujeto: periódico Vanguardia en formato web. La información que se mostrará a continuación va con el mismo enfoque de análisis y crítica del medio para estudiar la forma en cómo cubre sucesos de interés regional y cómo los maneja en materia audiovisual.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recolectó un total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34 noticias de la sección Santander desde el 14 al 27 de marzo de 2022.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continuación, encontrará las gráficas con los resultados.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resultados se estarán comparando con los de la semana anterior para contrastar los datos.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158115</wp:posOffset>
            </wp:positionH>
            <wp:positionV relativeFrom="paragraph">
              <wp:posOffset>201295</wp:posOffset>
            </wp:positionV>
            <wp:extent cx="5557520" cy="3448050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44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Hasta ahora, el periódico mantiene un mismo patrón en sus variables que de vez en cuando sufren ligeros cambios por eventos muy puntuales. Tal como en los informes anteriores, los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titulares de expectativa siguen siendo los de mayor dominancia en la gráfica con un 73,3%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mucho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mayor al de la semana anterior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estaba en un 64%.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titulares sensacionalistas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comparados con el informe pasado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pasaron de ocupar 20%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las noticias 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11,8%.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titulares confusos tuvieron un ligero incremento (de 8% a 8,8%)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técnicos pasaron de un 8% a abarcar solo el 5,9% de las noticias.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5612130" cy="3484880"/>
            <wp:effectExtent b="0" l="0" r="0" t="0"/>
            <wp:docPr id="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4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Luego de la semana de elecciones el periódico retomó con normalidad su ritmo de publicaciones. Esta semana hubo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mayor cubrimiento en localidades de Santander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dio lugar a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reaparición de fuentes de origen ciudadano.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semana anterior contó con solo tres fuentes en la gráfica (Oficial, afectado y ciudadano), mientras que esta semana nuevamente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las personas de las distintas localidades de la religión vuelven a tener voz.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fuentes fijas del periódico siguen siendo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oficiales con 50% , un porcentaje mucho menor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comparado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semana pasada en el que ocupaba el 75,6%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gráfica.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fuente Ciudadano aumentó de forma significativa pasando de un 7,3% a un 21,8%,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 igual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fuente Afectados que pasó de un 17,1% a un 19,2%.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presencia de voces expertas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hace presente en 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6,4%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todas las noticias recolectadas en la semana.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4911725" cy="3048000"/>
            <wp:effectExtent b="0" l="0" r="0" t="0"/>
            <wp:wrapTopAndBottom distB="0" dist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304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cuanto a sesgos, el diario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ha tenido cambios significativos.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Lo que sí se puede resaltar es que durante la semana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se detectó algún tipo de sesgo negativo en las noticias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cosas que sí sucedió durante la jornada electoral.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 sesgo neutral tuvo un ligero aumento de un 88% a un 91,2%.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 sesgo positivo disminuyó de un 8% a un 5,9%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 aparece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nueva etiqueta Ninguno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se explicará finalizada la muestra de gráficas.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63500</wp:posOffset>
                </wp:positionV>
                <wp:extent cx="1019175" cy="3498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45938" y="3614583"/>
                          <a:ext cx="10001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Grafica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-673099</wp:posOffset>
                </wp:positionH>
                <wp:positionV relativeFrom="paragraph">
                  <wp:posOffset>63500</wp:posOffset>
                </wp:positionV>
                <wp:extent cx="1019175" cy="349885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38100</wp:posOffset>
                </wp:positionV>
                <wp:extent cx="1019175" cy="3498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45938" y="3614583"/>
                          <a:ext cx="10001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Grafica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38100</wp:posOffset>
                </wp:positionV>
                <wp:extent cx="1019175" cy="349885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-518158</wp:posOffset>
            </wp:positionH>
            <wp:positionV relativeFrom="paragraph">
              <wp:posOffset>251459</wp:posOffset>
            </wp:positionV>
            <wp:extent cx="3603625" cy="223583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235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3083560</wp:posOffset>
            </wp:positionH>
            <wp:positionV relativeFrom="paragraph">
              <wp:posOffset>118745</wp:posOffset>
            </wp:positionV>
            <wp:extent cx="3520440" cy="2183765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183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el apartado visual de las noticias hubo un cambio notable, pues muchas de las etiquetas intercambiaron roles de dominio en las tablas. En 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gráfica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imágenes ilustrativas ocupan más de la mitad de la gráfica con un 55,9%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mientras que en la semana pasada ocupaban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solo un 24%.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imágenes genéricas esta vez fueron pocas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comparadas con la vez pasada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contaba con un 72%,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mientras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esta semana tan solo ocupa un 41,2%.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cuanto a antigüedad de imágenes, la semana pasada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la gráfica 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encontraba más o menos equilibrada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(Fotos de día con un 56% y fotos de archivo con un 40%)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mientras que esta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semana la etiqueta Día tiene un aumento pequeño pero significante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porcentaje, pasando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del 56% a un 61,8%.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Tal y como ocurrió con una de las gráficas anteriores, donde se evidenció la reaparición de fuentes de origen popular, se hacen más contundentes nuestras conclusiones sobre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mayor presencia y cubrimiento por parte de los periodistas en las diferentes localidades de Santander.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Finalmente, para dar razón de la existencia de la etiqueta “Ninguno” nombrada párrafos arriba. Esta nueva categoría surge debido a la aparición de lo que parecía ser una noticia ya titulada, pero sin contenido ni imagen.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469900</wp:posOffset>
                </wp:positionV>
                <wp:extent cx="1019175" cy="3498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45938" y="3614583"/>
                          <a:ext cx="10001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Imagen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469900</wp:posOffset>
                </wp:positionV>
                <wp:extent cx="1019175" cy="349885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5717</wp:posOffset>
            </wp:positionH>
            <wp:positionV relativeFrom="paragraph">
              <wp:posOffset>299720</wp:posOffset>
            </wp:positionV>
            <wp:extent cx="5612130" cy="299720"/>
            <wp:effectExtent b="0" l="0" r="0" t="0"/>
            <wp:wrapSquare wrapText="bothSides" distB="0" distT="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25400</wp:posOffset>
                </wp:positionV>
                <wp:extent cx="1019175" cy="3498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45938" y="3614583"/>
                          <a:ext cx="10001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Imagen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25400</wp:posOffset>
                </wp:positionV>
                <wp:extent cx="1019175" cy="349885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349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5717</wp:posOffset>
            </wp:positionH>
            <wp:positionV relativeFrom="paragraph">
              <wp:posOffset>0</wp:posOffset>
            </wp:positionV>
            <wp:extent cx="5612130" cy="2794000"/>
            <wp:effectExtent b="0" l="0" r="0" t="0"/>
            <wp:wrapSquare wrapText="bothSides" distB="0" distT="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noticia fue publicada el domingo 20 de marzo a las 12:00 a.m. y al parecer tendría lugar en San Gil. Gracias al título que pudimos conocer gracias al link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(ver imagen 1)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se podría deducir que es una noticia de carácter humanitario o referente a alguna organización gubernamental que se dirigía al municipio para emprender alguna labor social. Las razones por las que no fue publicada correctamente son desconocidas.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informe fue realizado por María Camila Tapias Bedoya, Maicol Fabián Ovallos Navarros y William Camilo Lache Chaparro.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