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5898" w14:textId="3956D83A" w:rsidR="00A10060" w:rsidRDefault="00A10060" w:rsidP="00A100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Integrantes:</w:t>
      </w:r>
    </w:p>
    <w:p w14:paraId="53B1F5F2" w14:textId="64F40857" w:rsidR="00A10060" w:rsidRDefault="00A10060" w:rsidP="00A100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Brayan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Steven Castellanos Rodríguez</w:t>
      </w:r>
    </w:p>
    <w:p w14:paraId="00F0E2E7" w14:textId="389284AF" w:rsidR="00A10060" w:rsidRDefault="00A10060" w:rsidP="00A100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María Alejandra Gámez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Orduz</w:t>
      </w:r>
      <w:proofErr w:type="spellEnd"/>
    </w:p>
    <w:p w14:paraId="67F8FD39" w14:textId="4BF8355C" w:rsidR="00A10060" w:rsidRPr="00A10060" w:rsidRDefault="00A10060" w:rsidP="00A100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Sofía Hernández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Pasachoa</w:t>
      </w:r>
      <w:proofErr w:type="spellEnd"/>
    </w:p>
    <w:p w14:paraId="65C18CDA" w14:textId="27878476" w:rsidR="001D62D2" w:rsidRDefault="00A767F0" w:rsidP="00A767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quincenal de análisis de la sección “´Política” en el Periódico Vanguardia durante la semana del 28 de febrero al 13 de marzo</w:t>
      </w:r>
    </w:p>
    <w:p w14:paraId="7B45772F" w14:textId="7A299008" w:rsidR="00A767F0" w:rsidRDefault="00A767F0" w:rsidP="00A76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estos quince días se analizaron nuevamente 36 noticias cuyos resultados se verán evidenciados en las gráficas a continuación:</w:t>
      </w:r>
    </w:p>
    <w:p w14:paraId="43E8C040" w14:textId="0DCCE86A" w:rsidR="00A767F0" w:rsidRDefault="00A767F0" w:rsidP="00A76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Empezando con los temas tratados en las noticias analizadas:</w:t>
      </w:r>
    </w:p>
    <w:p w14:paraId="25A6C107" w14:textId="69677DBD" w:rsidR="00AA7ADD" w:rsidRDefault="00AA7ADD" w:rsidP="00B243FD">
      <w:pPr>
        <w:jc w:val="center"/>
        <w:rPr>
          <w:rFonts w:ascii="Arial" w:hAnsi="Arial" w:cs="Arial"/>
          <w:sz w:val="24"/>
          <w:szCs w:val="24"/>
        </w:rPr>
      </w:pPr>
      <w:r w:rsidRPr="00AA7A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234AE2" wp14:editId="5A4D0162">
            <wp:extent cx="4543425" cy="25812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348BDB8-949B-4415-B3A9-3C1C1A1C7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243FD" w:rsidRPr="00B243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2735C3" wp14:editId="30E557D6">
            <wp:extent cx="4572000" cy="303847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0E4FAD0-A912-4EE4-B760-E9C1BD6A56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4FA310" w14:textId="69188532" w:rsidR="00B243FD" w:rsidRDefault="00B243FD" w:rsidP="009F6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puede observar que el tema con más predominancia sigue siendo “Elecciones” en este tercer análisis analizado. Con un porcentaje del 75% y presencia del tema en 27 noticias, sigue predominando a pesar de </w:t>
      </w:r>
      <w:r w:rsidR="00FD6601">
        <w:rPr>
          <w:rFonts w:ascii="Arial" w:hAnsi="Arial" w:cs="Arial"/>
          <w:sz w:val="24"/>
          <w:szCs w:val="24"/>
        </w:rPr>
        <w:t>haber pasado 6 semanas desde que comenzó este análisis. En comparación, con el análisis realizado las semanas anteriores, hubo un aumento del 14% y 5 noticias más en las que se trató el tema, esto debido a que el 13 de marzo se realizarían las elecciones al Congreso.</w:t>
      </w:r>
    </w:p>
    <w:p w14:paraId="79D33CE2" w14:textId="0994F75E" w:rsidR="00FD6601" w:rsidRDefault="00FD6601" w:rsidP="009F6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que le siguió en relevancia</w:t>
      </w:r>
      <w:r w:rsidR="00A10060">
        <w:rPr>
          <w:rFonts w:ascii="Arial" w:hAnsi="Arial" w:cs="Arial"/>
          <w:sz w:val="24"/>
          <w:szCs w:val="24"/>
        </w:rPr>
        <w:t xml:space="preserve"> “Corrupción” </w:t>
      </w:r>
      <w:r w:rsidR="00040EE2">
        <w:rPr>
          <w:rFonts w:ascii="Arial" w:hAnsi="Arial" w:cs="Arial"/>
          <w:sz w:val="24"/>
          <w:szCs w:val="24"/>
        </w:rPr>
        <w:t xml:space="preserve">con un porcentaje del 19% y 7 noticias. En comparación con las semanas anteriores, este tema </w:t>
      </w:r>
      <w:r w:rsidR="00E14236">
        <w:rPr>
          <w:rFonts w:ascii="Arial" w:hAnsi="Arial" w:cs="Arial"/>
          <w:sz w:val="24"/>
          <w:szCs w:val="24"/>
        </w:rPr>
        <w:t xml:space="preserve">presentó una reducción del 9% y 3 noticias menos; algo curioso dado que con las elecciones cerca se esperaría </w:t>
      </w:r>
      <w:r w:rsidR="00AE566E">
        <w:rPr>
          <w:rFonts w:ascii="Arial" w:hAnsi="Arial" w:cs="Arial"/>
          <w:sz w:val="24"/>
          <w:szCs w:val="24"/>
        </w:rPr>
        <w:t>más presencia del tema debido al posible fraude electoral y comprar de votos.</w:t>
      </w:r>
    </w:p>
    <w:p w14:paraId="32E27B56" w14:textId="7509EAC4" w:rsidR="00AE566E" w:rsidRDefault="00AE566E" w:rsidP="009F6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Finalizando con los temas “Violencia” y “Gobierno” con un porcentaje del 3% cada tema y 1 noticia individualmente, mientras que “Gobierno” mantuvo su porcentaje en comparación con las dos semanas anteriores, “Violencia” presentó una reducción del 2% y 1 noticia menos que las 2 que obtuvo en el análisis anterior. </w:t>
      </w:r>
      <w:r w:rsidR="00314D6C">
        <w:rPr>
          <w:rFonts w:ascii="Arial" w:hAnsi="Arial" w:cs="Arial"/>
          <w:sz w:val="24"/>
          <w:szCs w:val="24"/>
        </w:rPr>
        <w:t>Además de esto, el tema “Leyes” no tuvo presencia en lo absoluto en el actual análisis.</w:t>
      </w:r>
    </w:p>
    <w:p w14:paraId="18806A8D" w14:textId="2B95FDB8" w:rsidR="00314D6C" w:rsidRDefault="00314D6C" w:rsidP="00B24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este análisis, las regiones presentes en las noticias:</w:t>
      </w:r>
    </w:p>
    <w:p w14:paraId="34334400" w14:textId="39497E02" w:rsidR="00314D6C" w:rsidRDefault="00314D6C" w:rsidP="00B243FD">
      <w:pPr>
        <w:rPr>
          <w:rFonts w:ascii="Arial" w:hAnsi="Arial" w:cs="Arial"/>
          <w:sz w:val="24"/>
          <w:szCs w:val="24"/>
        </w:rPr>
      </w:pPr>
      <w:r w:rsidRPr="00314D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1BB900" wp14:editId="39968EF1">
            <wp:extent cx="5612130" cy="3741420"/>
            <wp:effectExtent l="0" t="0" r="7620" b="1143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E3748F1-E462-4791-B5D5-449FEDCB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73ED2A" w14:textId="46E1979E" w:rsidR="00314D6C" w:rsidRDefault="00314D6C" w:rsidP="00B243FD">
      <w:pPr>
        <w:rPr>
          <w:rFonts w:ascii="Arial" w:hAnsi="Arial" w:cs="Arial"/>
          <w:sz w:val="24"/>
          <w:szCs w:val="24"/>
        </w:rPr>
      </w:pPr>
      <w:r w:rsidRPr="00314D6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DDF65AD" wp14:editId="0D61FF37">
            <wp:extent cx="5612130" cy="3741420"/>
            <wp:effectExtent l="0" t="0" r="7620" b="1143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02BF9ED-6386-437E-A052-0E89048529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8267DB" w14:textId="36F76FD7" w:rsidR="00314D6C" w:rsidRDefault="00314D6C" w:rsidP="000F5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análisis </w:t>
      </w:r>
      <w:r w:rsidR="00C72D30">
        <w:rPr>
          <w:rFonts w:ascii="Arial" w:hAnsi="Arial" w:cs="Arial"/>
          <w:sz w:val="24"/>
          <w:szCs w:val="24"/>
        </w:rPr>
        <w:t>Santander sigue siendo la región con más prevalencia con un porcentaje del 36% y 13 noticias analizadas, manteniendo el mismo porcentaje y la misma cantidad de noticias reportadas en el informe anterior</w:t>
      </w:r>
      <w:r w:rsidR="008358A3">
        <w:rPr>
          <w:rFonts w:ascii="Arial" w:hAnsi="Arial" w:cs="Arial"/>
          <w:sz w:val="24"/>
          <w:szCs w:val="24"/>
        </w:rPr>
        <w:t>.</w:t>
      </w:r>
    </w:p>
    <w:p w14:paraId="4D8A628C" w14:textId="7CF22D5B" w:rsidR="008358A3" w:rsidRDefault="008358A3" w:rsidP="000F5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Colombia como la segunda región predominante con un porcentaje del 33% y 12 noticias, en comparación con el informe anterior, Colombia presenta un aumento del 14% y 5 noticias más en las que hace presencia.</w:t>
      </w:r>
    </w:p>
    <w:p w14:paraId="71C30733" w14:textId="799D504B" w:rsidR="008358A3" w:rsidRDefault="008358A3" w:rsidP="000F5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Cundinamarca, Antioquia y una noticia en la que hubo presencia de una región Internacional, tuvieron un porcentaje 6%, 3% y 3%</w:t>
      </w:r>
      <w:r w:rsidR="00981A91">
        <w:rPr>
          <w:rFonts w:ascii="Arial" w:hAnsi="Arial" w:cs="Arial"/>
          <w:sz w:val="24"/>
          <w:szCs w:val="24"/>
        </w:rPr>
        <w:t>, respectivamente. Cundinamarca y Antioquia tuvieron presencia en 2 y 1 noticia, respectivamente.</w:t>
      </w:r>
    </w:p>
    <w:p w14:paraId="231E4176" w14:textId="601016DE" w:rsidR="004A7AA9" w:rsidRDefault="004A7AA9" w:rsidP="000F5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finalizar, hubo 7 noticias en las que no se estableció la región donde ocurrieron los hechos, con un porcentaje del 19% siendo más alto por un 5% en comparación con los resultados presentados en el informe anterior.</w:t>
      </w:r>
    </w:p>
    <w:p w14:paraId="62FD1F97" w14:textId="18C38DB5" w:rsidR="0027439E" w:rsidRPr="00A767F0" w:rsidRDefault="004A7AA9" w:rsidP="000F5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una observación adicional, la región “Internacional” </w:t>
      </w:r>
      <w:r w:rsidR="0027439E">
        <w:rPr>
          <w:rFonts w:ascii="Arial" w:hAnsi="Arial" w:cs="Arial"/>
          <w:sz w:val="24"/>
          <w:szCs w:val="24"/>
        </w:rPr>
        <w:t>aparece por primera vez en este análisis y regiones como “Medellín” y “Atlántico” no fueron protagonistas como ocurrió en el informe presentado anteriormente.</w:t>
      </w:r>
    </w:p>
    <w:sectPr w:rsidR="0027439E" w:rsidRPr="00A76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3258"/>
    <w:multiLevelType w:val="hybridMultilevel"/>
    <w:tmpl w:val="5EA438FE"/>
    <w:lvl w:ilvl="0" w:tplc="C6A89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7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0"/>
    <w:rsid w:val="00040EE2"/>
    <w:rsid w:val="000F52BD"/>
    <w:rsid w:val="001D62D2"/>
    <w:rsid w:val="0027439E"/>
    <w:rsid w:val="00314D6C"/>
    <w:rsid w:val="004A7AA9"/>
    <w:rsid w:val="00540B70"/>
    <w:rsid w:val="008358A3"/>
    <w:rsid w:val="00981A91"/>
    <w:rsid w:val="009F69E9"/>
    <w:rsid w:val="00A10060"/>
    <w:rsid w:val="00A767F0"/>
    <w:rsid w:val="00AA7ADD"/>
    <w:rsid w:val="00AE566E"/>
    <w:rsid w:val="00B243FD"/>
    <w:rsid w:val="00C72D30"/>
    <w:rsid w:val="00E14236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BE0"/>
  <w15:chartTrackingRefBased/>
  <w15:docId w15:val="{3B080A8D-34D0-4378-B586-650A197D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21-4E50-8527-B6BE18749A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21-4E50-8527-B6BE18749A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21-4E50-8527-B6BE18749A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21-4E50-8527-B6BE18749A48}"/>
              </c:ext>
            </c:extLst>
          </c:dPt>
          <c:dLbls>
            <c:dLbl>
              <c:idx val="0"/>
              <c:layout>
                <c:manualLayout>
                  <c:x val="5.2765132874015748E-3"/>
                  <c:y val="-1.0314713932411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21-4E50-8527-B6BE18749A48}"/>
                </c:ext>
              </c:extLst>
            </c:dLbl>
            <c:dLbl>
              <c:idx val="1"/>
              <c:layout>
                <c:manualLayout>
                  <c:x val="-6.5843626968503904E-2"/>
                  <c:y val="-2.85706798369414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21-4E50-8527-B6BE18749A48}"/>
                </c:ext>
              </c:extLst>
            </c:dLbl>
            <c:dLbl>
              <c:idx val="2"/>
              <c:layout>
                <c:manualLayout>
                  <c:x val="-4.1560285433070866E-2"/>
                  <c:y val="9.960936887245516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21-4E50-8527-B6BE18749A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Corrupción</c:v>
                </c:pt>
                <c:pt idx="1">
                  <c:v>Elecciones</c:v>
                </c:pt>
                <c:pt idx="2">
                  <c:v>Violencia</c:v>
                </c:pt>
                <c:pt idx="3">
                  <c:v>Gobierno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21-4E50-8527-B6BE18749A4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00-4A67-94A1-DB67A0EE00D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00-4A67-94A1-DB67A0EE00DA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00-4A67-94A1-DB67A0EE00DA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E00-4A67-94A1-DB67A0EE00DA}"/>
              </c:ext>
            </c:extLst>
          </c:dPt>
          <c:cat>
            <c:strRef>
              <c:f>Hoja1!$A$2:$A$5</c:f>
              <c:strCache>
                <c:ptCount val="4"/>
                <c:pt idx="0">
                  <c:v>Corrupción</c:v>
                </c:pt>
                <c:pt idx="1">
                  <c:v>Elecciones</c:v>
                </c:pt>
                <c:pt idx="2">
                  <c:v>Violencia</c:v>
                </c:pt>
                <c:pt idx="3">
                  <c:v>Gobierno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00-4A67-94A1-DB67A0EE00D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Corrupción</c:v>
                </c:pt>
                <c:pt idx="1">
                  <c:v>Elecciones</c:v>
                </c:pt>
                <c:pt idx="2">
                  <c:v>Violencia</c:v>
                </c:pt>
                <c:pt idx="3">
                  <c:v>Gobierno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AE00-4A67-94A1-DB67A0EE00D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Corrupción</c:v>
                </c:pt>
                <c:pt idx="1">
                  <c:v>Elecciones</c:v>
                </c:pt>
                <c:pt idx="2">
                  <c:v>Violencia</c:v>
                </c:pt>
                <c:pt idx="3">
                  <c:v>Gobierno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AE00-4A67-94A1-DB67A0EE0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706223"/>
        <c:axId val="2110689583"/>
      </c:barChart>
      <c:catAx>
        <c:axId val="2110706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689583"/>
        <c:crosses val="autoZero"/>
        <c:auto val="1"/>
        <c:lblAlgn val="ctr"/>
        <c:lblOffset val="100"/>
        <c:noMultiLvlLbl val="0"/>
      </c:catAx>
      <c:valAx>
        <c:axId val="211068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706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6A-451A-AD26-5C8282B283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6A-451A-AD26-5C8282B283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6A-451A-AD26-5C8282B283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6A-451A-AD26-5C8282B283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6A-451A-AD26-5C8282B283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6A-451A-AD26-5C8282B283BA}"/>
              </c:ext>
            </c:extLst>
          </c:dPt>
          <c:dLbls>
            <c:dLbl>
              <c:idx val="0"/>
              <c:layout>
                <c:manualLayout>
                  <c:x val="2.3827202263779528E-2"/>
                  <c:y val="-1.10578856386635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6A-451A-AD26-5C8282B283BA}"/>
                </c:ext>
              </c:extLst>
            </c:dLbl>
            <c:dLbl>
              <c:idx val="1"/>
              <c:layout>
                <c:manualLayout>
                  <c:x val="-7.7235420767716542E-2"/>
                  <c:y val="-2.15547476897916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6A-451A-AD26-5C8282B283BA}"/>
                </c:ext>
              </c:extLst>
            </c:dLbl>
            <c:dLbl>
              <c:idx val="2"/>
              <c:layout>
                <c:manualLayout>
                  <c:x val="-1.511595718503937E-2"/>
                  <c:y val="5.8836795101082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6A-451A-AD26-5C8282B283BA}"/>
                </c:ext>
              </c:extLst>
            </c:dLbl>
            <c:dLbl>
              <c:idx val="3"/>
              <c:layout>
                <c:manualLayout>
                  <c:x val="-3.198148375984252E-2"/>
                  <c:y val="6.14056925808506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6A-451A-AD26-5C8282B283BA}"/>
                </c:ext>
              </c:extLst>
            </c:dLbl>
            <c:dLbl>
              <c:idx val="4"/>
              <c:layout>
                <c:manualLayout>
                  <c:x val="-5.6653112696850395E-2"/>
                  <c:y val="9.479637704254570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6A-451A-AD26-5C8282B283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No registra</c:v>
                </c:pt>
                <c:pt idx="4">
                  <c:v>Antioquia</c:v>
                </c:pt>
                <c:pt idx="5">
                  <c:v>Internacional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6A-451A-AD26-5C8282B283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445-4FCF-A08A-A7ED47BFE30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445-4FCF-A08A-A7ED47BFE30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445-4FCF-A08A-A7ED47BFE30C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445-4FCF-A08A-A7ED47BFE30C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445-4FCF-A08A-A7ED47BFE30C}"/>
              </c:ext>
            </c:extLst>
          </c:dPt>
          <c:cat>
            <c:strRef>
              <c:f>Hoja1!$A$2:$A$7</c:f>
              <c:strCache>
                <c:ptCount val="6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No registra</c:v>
                </c:pt>
                <c:pt idx="4">
                  <c:v>Antioquia</c:v>
                </c:pt>
                <c:pt idx="5">
                  <c:v>Internacional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45-4FCF-A08A-A7ED47BFE30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No registra</c:v>
                </c:pt>
                <c:pt idx="4">
                  <c:v>Antioquia</c:v>
                </c:pt>
                <c:pt idx="5">
                  <c:v>Internacional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B-8445-4FCF-A08A-A7ED47BFE30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No registra</c:v>
                </c:pt>
                <c:pt idx="4">
                  <c:v>Antioquia</c:v>
                </c:pt>
                <c:pt idx="5">
                  <c:v>Internacional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C-8445-4FCF-A08A-A7ED47BFE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709551"/>
        <c:axId val="2110697487"/>
      </c:barChart>
      <c:catAx>
        <c:axId val="2110709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697487"/>
        <c:crosses val="autoZero"/>
        <c:auto val="1"/>
        <c:lblAlgn val="ctr"/>
        <c:lblOffset val="100"/>
        <c:noMultiLvlLbl val="0"/>
      </c:catAx>
      <c:valAx>
        <c:axId val="2110697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709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majo cepeda</cp:lastModifiedBy>
  <cp:revision>5</cp:revision>
  <dcterms:created xsi:type="dcterms:W3CDTF">2022-03-14T22:32:00Z</dcterms:created>
  <dcterms:modified xsi:type="dcterms:W3CDTF">2022-03-24T20:24:00Z</dcterms:modified>
</cp:coreProperties>
</file>