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E8F" w14:textId="77777777" w:rsidR="000A5516" w:rsidRDefault="004F60DF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Integrantes:</w:t>
      </w:r>
    </w:p>
    <w:p w14:paraId="4670941F" w14:textId="77777777" w:rsidR="000A5516" w:rsidRDefault="004F60DF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Brayan Steven Castellanos Rodríguez</w:t>
      </w:r>
    </w:p>
    <w:p w14:paraId="67EF50BC" w14:textId="77777777" w:rsidR="000A5516" w:rsidRDefault="004F60DF">
      <w:pPr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María Alejandra Gámez Orduz</w:t>
      </w:r>
    </w:p>
    <w:p w14:paraId="62F93694" w14:textId="77777777" w:rsidR="000A5516" w:rsidRDefault="004F60D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Sofía Hernández </w:t>
      </w:r>
      <w:proofErr w:type="spellStart"/>
      <w:r>
        <w:rPr>
          <w:color w:val="000000"/>
        </w:rPr>
        <w:t>Pasachoa</w:t>
      </w:r>
      <w:proofErr w:type="spellEnd"/>
    </w:p>
    <w:p w14:paraId="0DAFB664" w14:textId="77777777" w:rsidR="000A5516" w:rsidRDefault="000A5516">
      <w:pPr>
        <w:spacing w:after="0"/>
        <w:jc w:val="left"/>
        <w:rPr>
          <w:rFonts w:ascii="Times New Roman" w:eastAsia="Times New Roman" w:hAnsi="Times New Roman" w:cs="Times New Roman"/>
        </w:rPr>
      </w:pPr>
    </w:p>
    <w:p w14:paraId="28F4E003" w14:textId="77777777" w:rsidR="000A5516" w:rsidRDefault="004F60DF">
      <w:pPr>
        <w:jc w:val="center"/>
        <w:rPr>
          <w:b/>
          <w:color w:val="000000"/>
        </w:rPr>
      </w:pPr>
      <w:r>
        <w:rPr>
          <w:b/>
          <w:color w:val="000000"/>
        </w:rPr>
        <w:t>Informe</w:t>
      </w:r>
      <w:r>
        <w:rPr>
          <w:b/>
        </w:rPr>
        <w:t xml:space="preserve"> de 3 semanas de </w:t>
      </w:r>
      <w:r>
        <w:rPr>
          <w:b/>
          <w:color w:val="000000"/>
        </w:rPr>
        <w:t>análisis de la sección “Política” en el Periódico Vanguardia durante la semana del 28 de marzo al 24 de abril</w:t>
      </w:r>
    </w:p>
    <w:p w14:paraId="5542AA15" w14:textId="77777777" w:rsidR="000A5516" w:rsidRDefault="000A5516">
      <w:pPr>
        <w:rPr>
          <w:b/>
          <w:color w:val="000000"/>
        </w:rPr>
      </w:pPr>
    </w:p>
    <w:p w14:paraId="7983BD0B" w14:textId="77777777" w:rsidR="000A5516" w:rsidRDefault="004F60DF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A lo largo de estos</w:t>
      </w:r>
      <w:r>
        <w:t xml:space="preserve"> veintiún</w:t>
      </w:r>
      <w:r>
        <w:rPr>
          <w:color w:val="000000"/>
        </w:rPr>
        <w:t xml:space="preserve"> días se analizaron 54 noticias cuyos resultados se verán evidenciados en las gráficas a continuación:</w:t>
      </w:r>
    </w:p>
    <w:p w14:paraId="4DF851E5" w14:textId="77777777" w:rsidR="000A5516" w:rsidRDefault="004F60DF">
      <w:pPr>
        <w:rPr>
          <w:rFonts w:ascii="Times New Roman" w:eastAsia="Times New Roman" w:hAnsi="Times New Roman" w:cs="Times New Roman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5911368A" wp14:editId="0466241A">
            <wp:simplePos x="0" y="0"/>
            <wp:positionH relativeFrom="margin">
              <wp:posOffset>2962910</wp:posOffset>
            </wp:positionH>
            <wp:positionV relativeFrom="page">
              <wp:posOffset>3410584</wp:posOffset>
            </wp:positionV>
            <wp:extent cx="2940050" cy="1801495"/>
            <wp:effectExtent l="0" t="0" r="0" b="0"/>
            <wp:wrapSquare wrapText="bothSides" distT="0" distB="0" distL="114300" distR="11430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5D83B65C" wp14:editId="20F7DB1D">
            <wp:simplePos x="0" y="0"/>
            <wp:positionH relativeFrom="margin">
              <wp:posOffset>-69214</wp:posOffset>
            </wp:positionH>
            <wp:positionV relativeFrom="page">
              <wp:posOffset>3408045</wp:posOffset>
            </wp:positionV>
            <wp:extent cx="2894965" cy="1798320"/>
            <wp:effectExtent l="0" t="0" r="0" b="0"/>
            <wp:wrapSquare wrapText="bothSides" distT="0" distB="0" distL="114300" distR="11430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color w:val="000000"/>
        </w:rPr>
        <w:t>Empezando co</w:t>
      </w:r>
      <w:r>
        <w:rPr>
          <w:color w:val="000000"/>
        </w:rPr>
        <w:t>n los temas tratados en las noticias analizadas:</w:t>
      </w:r>
    </w:p>
    <w:p w14:paraId="4A6AA49E" w14:textId="77777777" w:rsidR="000A5516" w:rsidRDefault="000A5516">
      <w:pPr>
        <w:rPr>
          <w:rFonts w:ascii="Times New Roman" w:eastAsia="Times New Roman" w:hAnsi="Times New Roman" w:cs="Times New Roman"/>
        </w:rPr>
      </w:pPr>
    </w:p>
    <w:p w14:paraId="783A26D9" w14:textId="77777777" w:rsidR="000A5516" w:rsidRDefault="000A5516">
      <w:pPr>
        <w:rPr>
          <w:rFonts w:ascii="Times New Roman" w:eastAsia="Times New Roman" w:hAnsi="Times New Roman" w:cs="Times New Roman"/>
        </w:rPr>
      </w:pPr>
    </w:p>
    <w:p w14:paraId="69F150C9" w14:textId="77777777" w:rsidR="000A5516" w:rsidRDefault="004F60DF" w:rsidP="004F60DF">
      <w:pPr>
        <w:spacing w:line="360" w:lineRule="auto"/>
      </w:pPr>
      <w:r>
        <w:t>El tema que tuvo mayor predominancia durante estos 15 días fue nuevamente ‘Elecciones’ con un 69% dando un total de 37 noticias. Aunque sigue liderando este tema que hace referencia a las próximas eleccion</w:t>
      </w:r>
      <w:r>
        <w:t xml:space="preserve">es presidenciales, estas semanas ha tenido una disminución noticiosa a comparación de las semanas anteriores. El descenso informativo se ve distribuido hacia nuevas categorías que se agregaron, y que no estaban presentes en el pasado análisis. Estos temas </w:t>
      </w:r>
      <w:r>
        <w:t xml:space="preserve">son: ‘Leyes’, con un 7% (4 noticias); ‘Obras’, con un 2% (1 noticia); ‘Violencia’, con un 2% (1 noticia). Por último, el número de noticias de ‘Gobierno’ se duplicó en esta ocasión pasando de 2 noticias, en el pasado informe, a 4 noticias en esta ocasión. </w:t>
      </w:r>
      <w:r>
        <w:t xml:space="preserve">La mayoría de información relacionada con este tema está relacionada al concejo de Bucaramanga. </w:t>
      </w:r>
    </w:p>
    <w:p w14:paraId="69B515E5" w14:textId="77777777" w:rsidR="000A5516" w:rsidRDefault="000A5516"/>
    <w:p w14:paraId="6315DB17" w14:textId="77777777" w:rsidR="000A5516" w:rsidRDefault="004F60DF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>Para finalizar, los resultados encontrados con respecto a las regiones fueron: </w:t>
      </w:r>
    </w:p>
    <w:p w14:paraId="5882E695" w14:textId="77777777" w:rsidR="000A5516" w:rsidRDefault="000A5516"/>
    <w:p w14:paraId="30D4CB2E" w14:textId="77777777" w:rsidR="000A5516" w:rsidRDefault="000A5516"/>
    <w:p w14:paraId="6E837083" w14:textId="77777777" w:rsidR="000A5516" w:rsidRDefault="000A5516"/>
    <w:p w14:paraId="43803266" w14:textId="77777777" w:rsidR="000A5516" w:rsidRDefault="000A5516"/>
    <w:p w14:paraId="281A409B" w14:textId="77777777" w:rsidR="000A5516" w:rsidRDefault="004F60DF"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5F9DAC65" wp14:editId="3EEB75C2">
            <wp:simplePos x="0" y="0"/>
            <wp:positionH relativeFrom="column">
              <wp:posOffset>-876299</wp:posOffset>
            </wp:positionH>
            <wp:positionV relativeFrom="paragraph">
              <wp:posOffset>247650</wp:posOffset>
            </wp:positionV>
            <wp:extent cx="3952875" cy="2181543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181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A116FDC" wp14:editId="39FD49B4">
            <wp:simplePos x="0" y="0"/>
            <wp:positionH relativeFrom="column">
              <wp:posOffset>2826385</wp:posOffset>
            </wp:positionH>
            <wp:positionV relativeFrom="paragraph">
              <wp:posOffset>114300</wp:posOffset>
            </wp:positionV>
            <wp:extent cx="3591878" cy="2362200"/>
            <wp:effectExtent l="0" t="0" r="0" b="0"/>
            <wp:wrapSquare wrapText="bothSides" distT="114300" distB="11430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1878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2D5413" w14:textId="77777777" w:rsidR="000A5516" w:rsidRDefault="000A5516"/>
    <w:p w14:paraId="6FFF279A" w14:textId="77777777" w:rsidR="000A5516" w:rsidRDefault="000A5516"/>
    <w:p w14:paraId="2A9F42D2" w14:textId="77777777" w:rsidR="000A5516" w:rsidRDefault="000A5516"/>
    <w:p w14:paraId="3AD34024" w14:textId="77777777" w:rsidR="000A5516" w:rsidRDefault="000A5516"/>
    <w:p w14:paraId="5550745A" w14:textId="77777777" w:rsidR="000A5516" w:rsidRDefault="000A5516"/>
    <w:p w14:paraId="0A8C8148" w14:textId="77777777" w:rsidR="000A5516" w:rsidRDefault="000A5516"/>
    <w:p w14:paraId="4B485FCD" w14:textId="77777777" w:rsidR="000A5516" w:rsidRDefault="000A5516"/>
    <w:p w14:paraId="3290219A" w14:textId="77777777" w:rsidR="000A5516" w:rsidRDefault="000A5516"/>
    <w:p w14:paraId="5E65DA86" w14:textId="77777777" w:rsidR="000A5516" w:rsidRDefault="000A5516"/>
    <w:p w14:paraId="047D2EC2" w14:textId="77777777" w:rsidR="000A5516" w:rsidRDefault="000A5516"/>
    <w:p w14:paraId="5177876A" w14:textId="77777777" w:rsidR="000A5516" w:rsidRDefault="000A5516"/>
    <w:p w14:paraId="7192DD86" w14:textId="77777777" w:rsidR="000A5516" w:rsidRDefault="000A5516"/>
    <w:p w14:paraId="2A494CBA" w14:textId="77777777" w:rsidR="000A5516" w:rsidRDefault="004F60DF">
      <w:r>
        <w:t>En esta ocasión, el 39% de las noticias, el porcentaje más grande, son ‘No Registra’; esto quiere decir que no tienen un lugar específico dentro del país, sino que son información de interés para todos los colombianos. Esta categoría tuvo 21 noticias, 17 m</w:t>
      </w:r>
      <w:r>
        <w:t>ás que el informe pasado. Seguido, está ‘Colombia’ (13 noticias) que disminuyó 12 noticias en esta ocasión. Por último, la región de ‘Santander’ aumentó sus noticias. Pasó de tener 3 a 11 noticias en este informe. Este hecho demuestra que, a pesar del cubr</w:t>
      </w:r>
      <w:r>
        <w:t>imiento de la agenda con relación a las elecciones presidenciales, Vanguardia está intentando informar sobre hechos políticos que suceden en el departamento. La región que no apareció esta vez fue: ‘Internacional’ pero ‘Bolívar’ apareció por primera vez en</w:t>
      </w:r>
      <w:r>
        <w:t xml:space="preserve"> el análisis; con una noticia que habla sobre el Congreso de Asofondos </w:t>
      </w:r>
      <w:proofErr w:type="spellStart"/>
      <w:r>
        <w:t>Fiap</w:t>
      </w:r>
      <w:proofErr w:type="spellEnd"/>
      <w:r>
        <w:t xml:space="preserve">, que se desarrolló en Cartagena. </w:t>
      </w:r>
    </w:p>
    <w:sectPr w:rsidR="000A551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9BC"/>
    <w:multiLevelType w:val="multilevel"/>
    <w:tmpl w:val="1B62E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6931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16"/>
    <w:rsid w:val="000A5516"/>
    <w:rsid w:val="004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CA77E"/>
  <w15:docId w15:val="{88F53189-695B-7D47-A1CC-EF8303D9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ES_tradnl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4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12A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 dirty="0">
                <a:solidFill>
                  <a:schemeClr val="tx1"/>
                </a:solidFill>
                <a:effectLst/>
              </a:rPr>
              <a:t>TEMAS EN LA SECCIÓN POLÍTICA</a:t>
            </a:r>
            <a:endParaRPr lang="es-CO" sz="1000" dirty="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E4-4721-9859-9562184F9877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0E4-4721-9859-9562184F9877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0E4-4721-9859-9562184F987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0E4-4721-9859-9562184F987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0E4-4721-9859-9562184F9877}"/>
              </c:ext>
            </c:extLst>
          </c:dPt>
          <c:cat>
            <c:strRef>
              <c:f>Hoja1!$A$2:$A$7</c:f>
              <c:strCache>
                <c:ptCount val="6"/>
                <c:pt idx="0">
                  <c:v>Elecciones </c:v>
                </c:pt>
                <c:pt idx="1">
                  <c:v>Violencia </c:v>
                </c:pt>
                <c:pt idx="2">
                  <c:v>Leyes </c:v>
                </c:pt>
                <c:pt idx="3">
                  <c:v>Gobierno </c:v>
                </c:pt>
                <c:pt idx="4">
                  <c:v>Obras </c:v>
                </c:pt>
                <c:pt idx="5">
                  <c:v>Corrupción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37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E4-4721-9859-9562184F9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5600591"/>
        <c:axId val="1865599343"/>
      </c:barChart>
      <c:catAx>
        <c:axId val="1865600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65599343"/>
        <c:crosses val="autoZero"/>
        <c:auto val="1"/>
        <c:lblAlgn val="ctr"/>
        <c:lblOffset val="100"/>
        <c:noMultiLvlLbl val="0"/>
      </c:catAx>
      <c:valAx>
        <c:axId val="186559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8656005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MX" sz="1000" dirty="0">
                <a:solidFill>
                  <a:schemeClr val="tx1"/>
                </a:solidFill>
              </a:rPr>
              <a:t>TEMAS DE LA SECCIÓN POLÍTICA </a:t>
            </a:r>
          </a:p>
          <a:p>
            <a:pPr>
              <a:defRPr sz="1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 sz="10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328-46DD-AEB0-19244AE70128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328-46DD-AEB0-19244AE70128}"/>
              </c:ext>
            </c:extLst>
          </c:dPt>
          <c:dPt>
            <c:idx val="2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328-46DD-AEB0-19244AE7012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328-46DD-AEB0-19244AE70128}"/>
              </c:ext>
            </c:extLst>
          </c:dPt>
          <c:dPt>
            <c:idx val="4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328-46DD-AEB0-19244AE70128}"/>
              </c:ext>
            </c:extLst>
          </c:dPt>
          <c:dPt>
            <c:idx val="5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328-46DD-AEB0-19244AE70128}"/>
              </c:ext>
            </c:extLst>
          </c:dPt>
          <c:dLbls>
            <c:dLbl>
              <c:idx val="0"/>
              <c:layout>
                <c:manualLayout>
                  <c:x val="6.6675072064774452E-2"/>
                  <c:y val="-9.59089594732861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28-46DD-AEB0-19244AE70128}"/>
                </c:ext>
              </c:extLst>
            </c:dLbl>
            <c:dLbl>
              <c:idx val="1"/>
              <c:layout>
                <c:manualLayout>
                  <c:x val="-8.6556486865989768E-2"/>
                  <c:y val="9.33482361315005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28-46DD-AEB0-19244AE70128}"/>
                </c:ext>
              </c:extLst>
            </c:dLbl>
            <c:dLbl>
              <c:idx val="2"/>
              <c:layout>
                <c:manualLayout>
                  <c:x val="-0.11767983378037387"/>
                  <c:y val="2.07805062502767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28-46DD-AEB0-19244AE70128}"/>
                </c:ext>
              </c:extLst>
            </c:dLbl>
            <c:dLbl>
              <c:idx val="3"/>
              <c:layout>
                <c:manualLayout>
                  <c:x val="-3.5780743463219786E-2"/>
                  <c:y val="3.09260865696872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28-46DD-AEB0-19244AE70128}"/>
                </c:ext>
              </c:extLst>
            </c:dLbl>
            <c:dLbl>
              <c:idx val="4"/>
              <c:layout>
                <c:manualLayout>
                  <c:x val="-1.9073121719160067E-2"/>
                  <c:y val="-2.09765237678623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28-46DD-AEB0-19244AE70128}"/>
                </c:ext>
              </c:extLst>
            </c:dLbl>
            <c:dLbl>
              <c:idx val="5"/>
              <c:layout>
                <c:manualLayout>
                  <c:x val="5.9013839545555821E-2"/>
                  <c:y val="-3.4529449708616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28-46DD-AEB0-19244AE701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Hoja1!$A$2:$A$7</c:f>
              <c:strCache>
                <c:ptCount val="6"/>
                <c:pt idx="0">
                  <c:v>Elecciones </c:v>
                </c:pt>
                <c:pt idx="1">
                  <c:v>Violencia </c:v>
                </c:pt>
                <c:pt idx="2">
                  <c:v>Leyes </c:v>
                </c:pt>
                <c:pt idx="3">
                  <c:v>Gobierno </c:v>
                </c:pt>
                <c:pt idx="4">
                  <c:v>Obras </c:v>
                </c:pt>
                <c:pt idx="5">
                  <c:v>Corrupción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37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328-46DD-AEB0-19244AE7012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7bTGM6nL+yDgZMP0Q2lx0/Bn4A==">AMUW2mWDa+wBxjhu3k+NEiGCFQYvm3v/ratzqkeUO8KPHU8bYrlUISGTdZ8P1SNXJH8NF0LRqn99jL+0yQ9C4ajBi0hAmS3+nwuJT+bkiA+OKowauIyFhKM=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Brayan Steven Castellanos Rodriguez</dc:creator>
  <cp:lastModifiedBy>majo cepeda</cp:lastModifiedBy>
  <cp:revision>2</cp:revision>
  <dcterms:created xsi:type="dcterms:W3CDTF">2022-04-19T02:21:00Z</dcterms:created>
  <dcterms:modified xsi:type="dcterms:W3CDTF">2022-04-29T02:42:00Z</dcterms:modified>
</cp:coreProperties>
</file>