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B61C" w14:textId="1AAB2C38" w:rsidR="00295934" w:rsidRDefault="00295934" w:rsidP="002959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Integrantes:</w:t>
      </w:r>
    </w:p>
    <w:p w14:paraId="33CC2B20" w14:textId="0403FBAB" w:rsidR="00295934" w:rsidRDefault="00295934" w:rsidP="0029593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Brayan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Castellanos Rodríguez</w:t>
      </w:r>
    </w:p>
    <w:p w14:paraId="27DA6FA4" w14:textId="57604DAE" w:rsidR="00295934" w:rsidRDefault="00295934" w:rsidP="0029593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María Alejandra Gámez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Orduz</w:t>
      </w:r>
      <w:proofErr w:type="spellEnd"/>
    </w:p>
    <w:p w14:paraId="78055E2A" w14:textId="069F40F3" w:rsidR="00295934" w:rsidRDefault="00295934" w:rsidP="0029593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Sofía Hernández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Pasachoa</w:t>
      </w:r>
      <w:proofErr w:type="spellEnd"/>
    </w:p>
    <w:p w14:paraId="268B5B36" w14:textId="77777777" w:rsidR="00295934" w:rsidRPr="00295934" w:rsidRDefault="00295934" w:rsidP="00295934">
      <w:pPr>
        <w:rPr>
          <w:rFonts w:ascii="Arial" w:hAnsi="Arial" w:cs="Arial"/>
          <w:b/>
          <w:bCs/>
          <w:sz w:val="24"/>
          <w:szCs w:val="24"/>
        </w:rPr>
      </w:pPr>
    </w:p>
    <w:p w14:paraId="25E6EC42" w14:textId="54AA6F67" w:rsidR="00F8311A" w:rsidRDefault="00295934" w:rsidP="0029593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Informe quincenal de análisis semiótico a los titulares de la sección Política en el medio regional Vanguardia</w:t>
      </w:r>
    </w:p>
    <w:p w14:paraId="36A5744B" w14:textId="5218DA41" w:rsidR="008D18F7" w:rsidRDefault="008D18F7" w:rsidP="008D18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(Semana del 28 de febrero al 13 de marzo)</w:t>
      </w:r>
    </w:p>
    <w:p w14:paraId="1E79D658" w14:textId="61870B77" w:rsidR="008D18F7" w:rsidRDefault="008D18F7" w:rsidP="008D1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análisis de estos quince días también se presentaron los resultados de manera gráfica como se muestra a continuación</w:t>
      </w:r>
      <w:r w:rsidR="00A57D82">
        <w:rPr>
          <w:rFonts w:ascii="Arial" w:hAnsi="Arial" w:cs="Arial"/>
          <w:sz w:val="24"/>
          <w:szCs w:val="24"/>
        </w:rPr>
        <w:t>.</w:t>
      </w:r>
    </w:p>
    <w:p w14:paraId="346B6B6C" w14:textId="50D3826D" w:rsidR="00A57D82" w:rsidRDefault="00A57D82" w:rsidP="008D1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Comenzando con los tipos de titulares presentes en las noticias:</w:t>
      </w:r>
    </w:p>
    <w:p w14:paraId="429B5F93" w14:textId="1DCB110C" w:rsidR="008D18F7" w:rsidRDefault="008D18F7" w:rsidP="008D18F7">
      <w:pPr>
        <w:rPr>
          <w:rFonts w:ascii="Arial" w:hAnsi="Arial" w:cs="Arial"/>
          <w:sz w:val="24"/>
          <w:szCs w:val="24"/>
        </w:rPr>
      </w:pPr>
      <w:r w:rsidRPr="008D18F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98DB8E" wp14:editId="02269913">
            <wp:extent cx="6076950" cy="337185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E7C463A-AD2B-405C-B048-B51D7F17BA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259B41C" w14:textId="2B765C10" w:rsidR="008D18F7" w:rsidRDefault="008D18F7" w:rsidP="008D18F7">
      <w:pPr>
        <w:rPr>
          <w:rFonts w:ascii="Arial" w:hAnsi="Arial" w:cs="Arial"/>
          <w:sz w:val="24"/>
          <w:szCs w:val="24"/>
        </w:rPr>
      </w:pPr>
      <w:r w:rsidRPr="008D18F7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9221E4B" wp14:editId="4D373A3F">
            <wp:extent cx="5612130" cy="3741420"/>
            <wp:effectExtent l="0" t="0" r="7620" b="1143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9349C0B6-3AA8-482B-AF29-1F02413533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6B6AC2C" w14:textId="3B5E9FEB" w:rsidR="008D18F7" w:rsidRDefault="008D18F7" w:rsidP="008D1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relación con los titulares de la</w:t>
      </w:r>
      <w:r w:rsidR="00DB20B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noticias analizadas en estas dos semanas, el tipo de titular que tuvo mayor presencia fue el de “Expectativa”</w:t>
      </w:r>
      <w:r w:rsidR="00BF365A">
        <w:rPr>
          <w:rFonts w:ascii="Arial" w:hAnsi="Arial" w:cs="Arial"/>
          <w:sz w:val="24"/>
          <w:szCs w:val="24"/>
        </w:rPr>
        <w:t xml:space="preserve"> con un porcentaje del 72% y 26 noticias, evidenciando que permaneció como el predominante </w:t>
      </w:r>
      <w:r w:rsidR="00DB20B7">
        <w:rPr>
          <w:rFonts w:ascii="Arial" w:hAnsi="Arial" w:cs="Arial"/>
          <w:sz w:val="24"/>
          <w:szCs w:val="24"/>
        </w:rPr>
        <w:t>al igual que en el análisis anterior. Sin embargo, tuvo una disminución del 16% en comparación con el anterior.</w:t>
      </w:r>
    </w:p>
    <w:p w14:paraId="3829CFF1" w14:textId="72BC7515" w:rsidR="00DB20B7" w:rsidRDefault="00DB20B7" w:rsidP="008D1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el tipo de titular “Sensacionalista” que tuvo un porcentaje del 14%, disminuyó un 15% en comparación con el análisis anterior. Y estuvo presente en 5 noticias, 1 menos que en el análisis anterior.</w:t>
      </w:r>
    </w:p>
    <w:p w14:paraId="42E48B1C" w14:textId="1247DEA4" w:rsidR="00DB20B7" w:rsidRDefault="00DB20B7" w:rsidP="008D1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finalizar los tipos de titulares “Confuso” y “Técnico” tuvieron un porcentaje del 11% y el 3%, respectivamente.</w:t>
      </w:r>
      <w:r w:rsidR="00A57D82">
        <w:rPr>
          <w:rFonts w:ascii="Arial" w:hAnsi="Arial" w:cs="Arial"/>
          <w:sz w:val="24"/>
          <w:szCs w:val="24"/>
        </w:rPr>
        <w:t xml:space="preserve"> Estando presentes en 4 y 1 noticias, respectivamente. “Confuso” presentó una reducción del 3% en comparación con el análisis anterior, al igual que “Técnico” con una reducción del 4%.</w:t>
      </w:r>
    </w:p>
    <w:p w14:paraId="6A3506E7" w14:textId="151E2844" w:rsidR="00A57D82" w:rsidRDefault="00A57D82" w:rsidP="008D1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Siguiendo con las fuentes usadas en las noticias:</w:t>
      </w:r>
    </w:p>
    <w:p w14:paraId="40FB7FCF" w14:textId="0883474A" w:rsidR="00A57D82" w:rsidRDefault="00A57D82" w:rsidP="008D18F7">
      <w:pPr>
        <w:rPr>
          <w:rFonts w:ascii="Arial" w:hAnsi="Arial" w:cs="Arial"/>
          <w:sz w:val="24"/>
          <w:szCs w:val="24"/>
        </w:rPr>
      </w:pPr>
      <w:r w:rsidRPr="00A57D8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8D5C4BB" wp14:editId="2BB85852">
            <wp:extent cx="5612130" cy="3741420"/>
            <wp:effectExtent l="0" t="0" r="13970" b="1778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1B9CF054-6DD4-4F88-9BBE-0D56800DE9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F528F97" w14:textId="5C9A4A40" w:rsidR="00A57D82" w:rsidRDefault="00A57D82" w:rsidP="008D18F7">
      <w:pPr>
        <w:rPr>
          <w:rFonts w:ascii="Arial" w:hAnsi="Arial" w:cs="Arial"/>
          <w:sz w:val="24"/>
          <w:szCs w:val="24"/>
        </w:rPr>
      </w:pPr>
      <w:r w:rsidRPr="00A57D8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49066F" wp14:editId="5CEBAE81">
            <wp:extent cx="5612130" cy="3741420"/>
            <wp:effectExtent l="0" t="0" r="7620" b="1143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4F5D73AC-15EB-4A3F-923B-4B4BD1BB93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61F4FDE" w14:textId="2BD858BD" w:rsidR="00A57D82" w:rsidRDefault="0037630A" w:rsidP="008D1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puede observar </w:t>
      </w:r>
      <w:r w:rsidR="00A57D82">
        <w:rPr>
          <w:rFonts w:ascii="Arial" w:hAnsi="Arial" w:cs="Arial"/>
          <w:sz w:val="24"/>
          <w:szCs w:val="24"/>
        </w:rPr>
        <w:t xml:space="preserve">en los resultados que “Oficial” sigue siendo el tipo de fuente más usada para darle veracidad a la información presente en las noticias </w:t>
      </w:r>
      <w:r w:rsidR="00E11791">
        <w:rPr>
          <w:rFonts w:ascii="Arial" w:hAnsi="Arial" w:cs="Arial"/>
          <w:sz w:val="24"/>
          <w:szCs w:val="24"/>
        </w:rPr>
        <w:t xml:space="preserve">con un </w:t>
      </w:r>
      <w:r w:rsidR="00E11791">
        <w:rPr>
          <w:rFonts w:ascii="Arial" w:hAnsi="Arial" w:cs="Arial"/>
          <w:sz w:val="24"/>
          <w:szCs w:val="24"/>
        </w:rPr>
        <w:lastRenderedPageBreak/>
        <w:t xml:space="preserve">porcentaje del 51% y estando presente en 22 noticias. En comparación con el análisis anterior podemos ver que se presentó un aumento del 9% en cuanto a la usabilidad de este tipo de fuente. </w:t>
      </w:r>
    </w:p>
    <w:p w14:paraId="64B6F464" w14:textId="37B3427C" w:rsidR="00E11791" w:rsidRDefault="00E11791" w:rsidP="008D1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“Ciudadano” y “Sin fuente” que presentaron el mismo porcentaje de 12%, evidenciando por un lado que “Ciudadano” fue usado un 7</w:t>
      </w:r>
      <w:r w:rsidR="00783FE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más que las anteriores semanas</w:t>
      </w:r>
      <w:r w:rsidR="00F121F9">
        <w:rPr>
          <w:rFonts w:ascii="Arial" w:hAnsi="Arial" w:cs="Arial"/>
          <w:sz w:val="24"/>
          <w:szCs w:val="24"/>
        </w:rPr>
        <w:t xml:space="preserve"> y, por otro lado, que la característica de “Sin fuente” es una idea a considerar dentro del análisis, dado que no había estado presente esta carencia de fuentes en noticias analizadas anteriormente.</w:t>
      </w:r>
    </w:p>
    <w:p w14:paraId="2258383E" w14:textId="18921100" w:rsidR="00F121F9" w:rsidRDefault="00F121F9" w:rsidP="008D1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“Afectado” y “Experto” fueron usados en misma medida con un porcentaje del 9</w:t>
      </w:r>
      <w:r w:rsidR="00783FE3"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z w:val="24"/>
          <w:szCs w:val="24"/>
        </w:rPr>
        <w:t>estando presentes en 4 noticias cada uno.</w:t>
      </w:r>
    </w:p>
    <w:p w14:paraId="58E95D0A" w14:textId="0670B7F6" w:rsidR="008F5ED4" w:rsidRDefault="00F121F9" w:rsidP="008D1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finalizar el uso de la fuente “Víctima” tuvo una predominancia del 7</w:t>
      </w:r>
      <w:r w:rsidR="00783FE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y estuvo presente en 3 noticias</w:t>
      </w:r>
      <w:r w:rsidR="00F816C0">
        <w:rPr>
          <w:rFonts w:ascii="Arial" w:hAnsi="Arial" w:cs="Arial"/>
          <w:sz w:val="24"/>
          <w:szCs w:val="24"/>
        </w:rPr>
        <w:t>, en comparación con el análisis anterior se presentó una reducción del 15</w:t>
      </w:r>
      <w:r w:rsidR="00783FE3">
        <w:rPr>
          <w:rFonts w:ascii="Arial" w:hAnsi="Arial" w:cs="Arial"/>
          <w:sz w:val="24"/>
          <w:szCs w:val="24"/>
        </w:rPr>
        <w:t>%</w:t>
      </w:r>
      <w:r w:rsidR="00F816C0">
        <w:rPr>
          <w:rFonts w:ascii="Arial" w:hAnsi="Arial" w:cs="Arial"/>
          <w:sz w:val="24"/>
          <w:szCs w:val="24"/>
        </w:rPr>
        <w:t xml:space="preserve">; esto podría deberse a la reciente carencia de fuentes para verificar la información </w:t>
      </w:r>
      <w:r w:rsidR="008F5ED4">
        <w:rPr>
          <w:rFonts w:ascii="Arial" w:hAnsi="Arial" w:cs="Arial"/>
          <w:sz w:val="24"/>
          <w:szCs w:val="24"/>
        </w:rPr>
        <w:t>presentadas en las dos últimas semanas.</w:t>
      </w:r>
    </w:p>
    <w:p w14:paraId="5F4EDA6D" w14:textId="2A4E3CAF" w:rsidR="008F5ED4" w:rsidRDefault="008F5ED4" w:rsidP="008D1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cuanto tipo de sesgo presente en el desarrollo de las noticias:</w:t>
      </w:r>
    </w:p>
    <w:p w14:paraId="167AD60D" w14:textId="74B0318E" w:rsidR="008F5ED4" w:rsidRDefault="00783FE3" w:rsidP="008D18F7">
      <w:pPr>
        <w:rPr>
          <w:rFonts w:ascii="Arial" w:hAnsi="Arial" w:cs="Arial"/>
          <w:sz w:val="24"/>
          <w:szCs w:val="24"/>
        </w:rPr>
      </w:pPr>
      <w:r w:rsidRPr="00783FE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6A4B99" wp14:editId="6DABD8FC">
            <wp:extent cx="5153025" cy="2009775"/>
            <wp:effectExtent l="0" t="0" r="9525" b="952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69BE7EA3-C598-4EAB-AEFE-C2120F0E98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6A1816" w14:textId="69569D39" w:rsidR="00783FE3" w:rsidRDefault="00783FE3" w:rsidP="008D18F7">
      <w:pPr>
        <w:rPr>
          <w:rFonts w:ascii="Arial" w:hAnsi="Arial" w:cs="Arial"/>
          <w:sz w:val="24"/>
          <w:szCs w:val="24"/>
        </w:rPr>
      </w:pPr>
      <w:r w:rsidRPr="00783FE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70CEAD" wp14:editId="405A7566">
            <wp:extent cx="5372100" cy="2743200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4D62D830-6BD8-4568-9B88-1E29E4F826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ADA8560" w14:textId="30820F97" w:rsidR="00783FE3" w:rsidRDefault="00783FE3" w:rsidP="008D1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presentaron solo dos tipos de sesgo. “Neutro” con un porcentaje del 94%, estando presente en 34 noticias y “Negativo” con un porcentaje del 6%, estando presente en una sola noticia</w:t>
      </w:r>
      <w:r w:rsidR="00635B2D">
        <w:rPr>
          <w:rFonts w:ascii="Arial" w:hAnsi="Arial" w:cs="Arial"/>
          <w:sz w:val="24"/>
          <w:szCs w:val="24"/>
        </w:rPr>
        <w:t>. En comparación con el análisis anterior, el “Neutro” permaneció como el predominante, sin embargo, presentó una reducción del 3% y en cuanto a “Negativo” en el análisis anterior no formó parte de las noticias, contario a las dos últimas semanas que fue protagonista en 1 noticia.</w:t>
      </w:r>
    </w:p>
    <w:p w14:paraId="089CD5F2" w14:textId="6D06C669" w:rsidR="00635B2D" w:rsidRDefault="00635B2D" w:rsidP="008D1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lo relacionado con la imagen de la noticia tenemos dos resultados:</w:t>
      </w:r>
    </w:p>
    <w:p w14:paraId="37ABF64B" w14:textId="581FCBED" w:rsidR="00635B2D" w:rsidRDefault="00A51A0F" w:rsidP="008D18F7">
      <w:pPr>
        <w:rPr>
          <w:rFonts w:ascii="Arial" w:hAnsi="Arial" w:cs="Arial"/>
          <w:sz w:val="24"/>
          <w:szCs w:val="24"/>
        </w:rPr>
      </w:pPr>
      <w:r w:rsidRPr="00A51A0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9A1781" wp14:editId="5E4BC7EA">
            <wp:simplePos x="0" y="0"/>
            <wp:positionH relativeFrom="column">
              <wp:posOffset>3286592</wp:posOffset>
            </wp:positionH>
            <wp:positionV relativeFrom="paragraph">
              <wp:posOffset>238967</wp:posOffset>
            </wp:positionV>
            <wp:extent cx="2714625" cy="2640564"/>
            <wp:effectExtent l="0" t="0" r="9525" b="7620"/>
            <wp:wrapNone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C12D6F27-45F6-41F6-8EFE-B9D5E4733A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A0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47FACF" wp14:editId="1FD4F6A1">
            <wp:simplePos x="0" y="0"/>
            <wp:positionH relativeFrom="column">
              <wp:posOffset>-707222</wp:posOffset>
            </wp:positionH>
            <wp:positionV relativeFrom="paragraph">
              <wp:posOffset>238656</wp:posOffset>
            </wp:positionV>
            <wp:extent cx="3722914" cy="2668555"/>
            <wp:effectExtent l="0" t="0" r="11430" b="17780"/>
            <wp:wrapNone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D030242A-FBBC-47C5-9EB5-596B94CB22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B2D">
        <w:rPr>
          <w:rFonts w:ascii="Arial" w:hAnsi="Arial" w:cs="Arial"/>
          <w:sz w:val="24"/>
          <w:szCs w:val="24"/>
        </w:rPr>
        <w:t>La fotografía usada y el tipo de imagen representa, respectivamente:</w:t>
      </w:r>
    </w:p>
    <w:p w14:paraId="3EFC9692" w14:textId="233FFD2D" w:rsidR="00635B2D" w:rsidRDefault="00635B2D" w:rsidP="008D18F7">
      <w:pPr>
        <w:rPr>
          <w:rFonts w:ascii="Arial" w:hAnsi="Arial" w:cs="Arial"/>
          <w:sz w:val="24"/>
          <w:szCs w:val="24"/>
        </w:rPr>
      </w:pPr>
    </w:p>
    <w:p w14:paraId="1BC89E84" w14:textId="79F8C80E" w:rsidR="00A51A0F" w:rsidRDefault="00A51A0F" w:rsidP="008D18F7">
      <w:pPr>
        <w:rPr>
          <w:rFonts w:ascii="Arial" w:hAnsi="Arial" w:cs="Arial"/>
          <w:sz w:val="24"/>
          <w:szCs w:val="24"/>
        </w:rPr>
      </w:pPr>
    </w:p>
    <w:p w14:paraId="31DF28A1" w14:textId="1C415073" w:rsidR="00635B2D" w:rsidRDefault="00635B2D" w:rsidP="008D18F7">
      <w:pPr>
        <w:rPr>
          <w:rFonts w:ascii="Arial" w:hAnsi="Arial" w:cs="Arial"/>
          <w:sz w:val="24"/>
          <w:szCs w:val="24"/>
        </w:rPr>
      </w:pPr>
    </w:p>
    <w:p w14:paraId="10B80999" w14:textId="0195D2A3" w:rsidR="00A51A0F" w:rsidRDefault="00A51A0F" w:rsidP="008D18F7">
      <w:pPr>
        <w:rPr>
          <w:rFonts w:ascii="Arial" w:hAnsi="Arial" w:cs="Arial"/>
          <w:sz w:val="24"/>
          <w:szCs w:val="24"/>
        </w:rPr>
      </w:pPr>
    </w:p>
    <w:p w14:paraId="6BBE5B07" w14:textId="00B71502" w:rsidR="00A51A0F" w:rsidRDefault="00A51A0F" w:rsidP="008D18F7">
      <w:pPr>
        <w:rPr>
          <w:rFonts w:ascii="Arial" w:hAnsi="Arial" w:cs="Arial"/>
          <w:sz w:val="24"/>
          <w:szCs w:val="24"/>
        </w:rPr>
      </w:pPr>
    </w:p>
    <w:p w14:paraId="0AAD9751" w14:textId="4092AAA3" w:rsidR="00A51A0F" w:rsidRDefault="00A51A0F" w:rsidP="008D18F7">
      <w:pPr>
        <w:rPr>
          <w:rFonts w:ascii="Arial" w:hAnsi="Arial" w:cs="Arial"/>
          <w:sz w:val="24"/>
          <w:szCs w:val="24"/>
        </w:rPr>
      </w:pPr>
    </w:p>
    <w:p w14:paraId="55A8F4A3" w14:textId="4DBDE309" w:rsidR="00A51A0F" w:rsidRDefault="00A51A0F" w:rsidP="008D18F7">
      <w:pPr>
        <w:rPr>
          <w:rFonts w:ascii="Arial" w:hAnsi="Arial" w:cs="Arial"/>
          <w:sz w:val="24"/>
          <w:szCs w:val="24"/>
        </w:rPr>
      </w:pPr>
    </w:p>
    <w:p w14:paraId="08BBB799" w14:textId="247F2E91" w:rsidR="00A51A0F" w:rsidRDefault="00A51A0F" w:rsidP="008D18F7">
      <w:pPr>
        <w:rPr>
          <w:rFonts w:ascii="Arial" w:hAnsi="Arial" w:cs="Arial"/>
          <w:sz w:val="24"/>
          <w:szCs w:val="24"/>
        </w:rPr>
      </w:pPr>
    </w:p>
    <w:p w14:paraId="3E2A3D2E" w14:textId="7579D2A4" w:rsidR="00A51A0F" w:rsidRDefault="00A51A0F" w:rsidP="008D18F7">
      <w:pPr>
        <w:rPr>
          <w:rFonts w:ascii="Arial" w:hAnsi="Arial" w:cs="Arial"/>
          <w:sz w:val="24"/>
          <w:szCs w:val="24"/>
        </w:rPr>
      </w:pPr>
    </w:p>
    <w:p w14:paraId="5D92E1FA" w14:textId="66F40C29" w:rsidR="00A51A0F" w:rsidRDefault="00A51A0F" w:rsidP="008D18F7">
      <w:pPr>
        <w:rPr>
          <w:rFonts w:ascii="Arial" w:hAnsi="Arial" w:cs="Arial"/>
          <w:sz w:val="24"/>
          <w:szCs w:val="24"/>
        </w:rPr>
      </w:pPr>
    </w:p>
    <w:p w14:paraId="3B8360A7" w14:textId="0B6989ED" w:rsidR="00A51A0F" w:rsidRDefault="00A51A0F" w:rsidP="008D18F7">
      <w:pPr>
        <w:rPr>
          <w:rFonts w:ascii="Arial" w:hAnsi="Arial" w:cs="Arial"/>
          <w:sz w:val="24"/>
          <w:szCs w:val="24"/>
        </w:rPr>
      </w:pPr>
      <w:r w:rsidRPr="00A51A0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167E67" wp14:editId="61B22CB2">
            <wp:extent cx="5029200" cy="2276669"/>
            <wp:effectExtent l="0" t="0" r="0" b="952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B1D80092-34DE-4AE6-83D8-F8DBB7A4F7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EFDF830" w14:textId="0D1B8A3A" w:rsidR="00A51A0F" w:rsidRDefault="00A51A0F" w:rsidP="008D18F7">
      <w:pPr>
        <w:rPr>
          <w:rFonts w:ascii="Arial" w:hAnsi="Arial" w:cs="Arial"/>
          <w:sz w:val="24"/>
          <w:szCs w:val="24"/>
        </w:rPr>
      </w:pPr>
      <w:r w:rsidRPr="00A51A0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13A778E" wp14:editId="66E95989">
            <wp:extent cx="5612130" cy="3741420"/>
            <wp:effectExtent l="0" t="0" r="7620" b="1143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52CF32A0-C64D-4190-8BB1-3DE36C8A7D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492783B" w14:textId="34041D94" w:rsidR="00A51A0F" w:rsidRDefault="00A51A0F" w:rsidP="008D1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a la fotografía usada hubo una predominancia en el uso de fotos de “Archivo” con un porcentaje del 83% y su presencia en 30 días. Estos </w:t>
      </w:r>
      <w:r w:rsidR="0088477F">
        <w:rPr>
          <w:rFonts w:ascii="Arial" w:hAnsi="Arial" w:cs="Arial"/>
          <w:sz w:val="24"/>
          <w:szCs w:val="24"/>
        </w:rPr>
        <w:t>datos permanecen inalterables desde el análisis anterior. Al igual que con el uso de fotografías de “Día” los datos permanecen inalterables: un porcentaje del 17% y presencia en 6 noticias.</w:t>
      </w:r>
    </w:p>
    <w:p w14:paraId="1CEF9148" w14:textId="060D8C2C" w:rsidR="0088477F" w:rsidRPr="008D18F7" w:rsidRDefault="0088477F" w:rsidP="008D1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finalizar, en relación al tipo de imagen se pudo evidenciar que el uso de la imagen “Genérica” </w:t>
      </w:r>
      <w:r w:rsidR="00471932">
        <w:rPr>
          <w:rFonts w:ascii="Arial" w:hAnsi="Arial" w:cs="Arial"/>
          <w:sz w:val="24"/>
          <w:szCs w:val="24"/>
        </w:rPr>
        <w:t>predominó esta vez en comparación con el resultado anterior, con un porcentaje del 56% y tomando partido en 20 noticias. Mientras que “Ilustrativa” estuvo presente en 16 noticias con un porcentaje del 44%, presentando una reducción del 28% en comparación con el análisis anterior.</w:t>
      </w:r>
    </w:p>
    <w:sectPr w:rsidR="0088477F" w:rsidRPr="008D18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2B63"/>
    <w:multiLevelType w:val="hybridMultilevel"/>
    <w:tmpl w:val="937448EE"/>
    <w:lvl w:ilvl="0" w:tplc="D73A51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37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34"/>
    <w:rsid w:val="00234651"/>
    <w:rsid w:val="00295934"/>
    <w:rsid w:val="0037630A"/>
    <w:rsid w:val="00471932"/>
    <w:rsid w:val="00635B2D"/>
    <w:rsid w:val="00783FE3"/>
    <w:rsid w:val="0088477F"/>
    <w:rsid w:val="008D18F7"/>
    <w:rsid w:val="008F5ED4"/>
    <w:rsid w:val="00A51A0F"/>
    <w:rsid w:val="00A57D82"/>
    <w:rsid w:val="00BF365A"/>
    <w:rsid w:val="00DB20B7"/>
    <w:rsid w:val="00E11791"/>
    <w:rsid w:val="00F121F9"/>
    <w:rsid w:val="00F816C0"/>
    <w:rsid w:val="00F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F753"/>
  <w15:chartTrackingRefBased/>
  <w15:docId w15:val="{C8009848-E4A9-44D3-B95E-C988A29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73-4137-AA02-D43D6C44B1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73-4137-AA02-D43D6C44B1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F73-4137-AA02-D43D6C44B1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F73-4137-AA02-D43D6C44B1BA}"/>
              </c:ext>
            </c:extLst>
          </c:dPt>
          <c:dLbls>
            <c:dLbl>
              <c:idx val="0"/>
              <c:layout>
                <c:manualLayout>
                  <c:x val="4.1913016732283467E-2"/>
                  <c:y val="2.06537880995455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73-4137-AA02-D43D6C44B1BA}"/>
                </c:ext>
              </c:extLst>
            </c:dLbl>
            <c:dLbl>
              <c:idx val="1"/>
              <c:layout>
                <c:manualLayout>
                  <c:x val="2.2530019685039371E-2"/>
                  <c:y val="1.168183983256398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73-4137-AA02-D43D6C44B1BA}"/>
                </c:ext>
              </c:extLst>
            </c:dLbl>
            <c:dLbl>
              <c:idx val="2"/>
              <c:layout>
                <c:manualLayout>
                  <c:x val="-9.7641424704724408E-2"/>
                  <c:y val="-0.131330823613999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73-4137-AA02-D43D6C44B1BA}"/>
                </c:ext>
              </c:extLst>
            </c:dLbl>
            <c:dLbl>
              <c:idx val="3"/>
              <c:layout>
                <c:manualLayout>
                  <c:x val="-0.1031206938976378"/>
                  <c:y val="1.23046867430679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F73-4137-AA02-D43D6C44B1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Confuso</c:v>
                </c:pt>
                <c:pt idx="1">
                  <c:v>Sensacionalista</c:v>
                </c:pt>
                <c:pt idx="2">
                  <c:v>Expectativa</c:v>
                </c:pt>
                <c:pt idx="3">
                  <c:v>Técnico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26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73-4137-AA02-D43D6C44B1B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3B6-4B81-B808-E0334E6E89C1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3B6-4B81-B808-E0334E6E89C1}"/>
              </c:ext>
            </c:extLst>
          </c:dPt>
          <c:cat>
            <c:strRef>
              <c:f>Hoja1!$A$2:$A$5</c:f>
              <c:strCache>
                <c:ptCount val="2"/>
                <c:pt idx="0">
                  <c:v>Ilustrativa</c:v>
                </c:pt>
                <c:pt idx="1">
                  <c:v>Genérica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16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B6-4B81-B808-E0334E6E89C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Ilustrativa</c:v>
                </c:pt>
                <c:pt idx="1">
                  <c:v>Genérica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03B6-4B81-B808-E0334E6E89C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Ilustrativa</c:v>
                </c:pt>
                <c:pt idx="1">
                  <c:v>Genérica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03B6-4B81-B808-E0334E6E89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3403360"/>
        <c:axId val="883402944"/>
      </c:barChart>
      <c:catAx>
        <c:axId val="88340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83402944"/>
        <c:crosses val="autoZero"/>
        <c:auto val="1"/>
        <c:lblAlgn val="ctr"/>
        <c:lblOffset val="100"/>
        <c:noMultiLvlLbl val="0"/>
      </c:catAx>
      <c:valAx>
        <c:axId val="88340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8340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BA2-436A-9ADE-6A39A5475A81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BA2-436A-9ADE-6A39A5475A81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BA2-436A-9ADE-6A39A5475A81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BA2-436A-9ADE-6A39A5475A81}"/>
              </c:ext>
            </c:extLst>
          </c:dPt>
          <c:cat>
            <c:strRef>
              <c:f>Hoja1!$A$2:$A$5</c:f>
              <c:strCache>
                <c:ptCount val="4"/>
                <c:pt idx="0">
                  <c:v>Confuso </c:v>
                </c:pt>
                <c:pt idx="1">
                  <c:v>Sensacionalista</c:v>
                </c:pt>
                <c:pt idx="2">
                  <c:v>Expectativa</c:v>
                </c:pt>
                <c:pt idx="3">
                  <c:v>Técnico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26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BA2-436A-9ADE-6A39A5475A8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Confuso </c:v>
                </c:pt>
                <c:pt idx="1">
                  <c:v>Sensacionalista</c:v>
                </c:pt>
                <c:pt idx="2">
                  <c:v>Expectativa</c:v>
                </c:pt>
                <c:pt idx="3">
                  <c:v>Técnico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5BA2-436A-9ADE-6A39A5475A8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Confuso </c:v>
                </c:pt>
                <c:pt idx="1">
                  <c:v>Sensacionalista</c:v>
                </c:pt>
                <c:pt idx="2">
                  <c:v>Expectativa</c:v>
                </c:pt>
                <c:pt idx="3">
                  <c:v>Técnico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5BA2-436A-9ADE-6A39A5475A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76613056"/>
        <c:axId val="876606816"/>
      </c:barChart>
      <c:catAx>
        <c:axId val="87661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76606816"/>
        <c:crosses val="autoZero"/>
        <c:auto val="1"/>
        <c:lblAlgn val="ctr"/>
        <c:lblOffset val="100"/>
        <c:noMultiLvlLbl val="0"/>
      </c:catAx>
      <c:valAx>
        <c:axId val="87660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76613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9A9-4A2E-B92F-AB8B8DEE07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9A9-4A2E-B92F-AB8B8DEE07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9A9-4A2E-B92F-AB8B8DEE07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9A9-4A2E-B92F-AB8B8DEE07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9A9-4A2E-B92F-AB8B8DEE07C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9A9-4A2E-B92F-AB8B8DEE07C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9A9-4A2E-B92F-AB8B8DEE07C1}"/>
              </c:ext>
            </c:extLst>
          </c:dPt>
          <c:dLbls>
            <c:dLbl>
              <c:idx val="0"/>
              <c:layout>
                <c:manualLayout>
                  <c:x val="2.7833661417322835E-2"/>
                  <c:y val="-8.92313552392128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A9-4A2E-B92F-AB8B8DEE07C1}"/>
                </c:ext>
              </c:extLst>
            </c:dLbl>
            <c:dLbl>
              <c:idx val="1"/>
              <c:layout>
                <c:manualLayout>
                  <c:x val="-1.3198757381889763E-2"/>
                  <c:y val="9.721025484681011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A9-4A2E-B92F-AB8B8DEE07C1}"/>
                </c:ext>
              </c:extLst>
            </c:dLbl>
            <c:dLbl>
              <c:idx val="2"/>
              <c:layout>
                <c:manualLayout>
                  <c:x val="-2.015378937007874E-2"/>
                  <c:y val="5.72543025803209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A9-4A2E-B92F-AB8B8DEE07C1}"/>
                </c:ext>
              </c:extLst>
            </c:dLbl>
            <c:dLbl>
              <c:idx val="3"/>
              <c:layout>
                <c:manualLayout>
                  <c:x val="-4.9723978838582678E-2"/>
                  <c:y val="7.72239740880921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9A9-4A2E-B92F-AB8B8DEE07C1}"/>
                </c:ext>
              </c:extLst>
            </c:dLbl>
            <c:dLbl>
              <c:idx val="4"/>
              <c:layout>
                <c:manualLayout>
                  <c:x val="-2.9819635826771655E-2"/>
                  <c:y val="9.57228041509099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9A9-4A2E-B92F-AB8B8DEE07C1}"/>
                </c:ext>
              </c:extLst>
            </c:dLbl>
            <c:dLbl>
              <c:idx val="5"/>
              <c:layout>
                <c:manualLayout>
                  <c:x val="-2.5198695866141731E-2"/>
                  <c:y val="-2.9877089697521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9A9-4A2E-B92F-AB8B8DEE07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Hoja1!$A$2:$A$8</c:f>
              <c:strCache>
                <c:ptCount val="6"/>
                <c:pt idx="0">
                  <c:v>Oficial</c:v>
                </c:pt>
                <c:pt idx="1">
                  <c:v>Experto</c:v>
                </c:pt>
                <c:pt idx="2">
                  <c:v>Ciudadano</c:v>
                </c:pt>
                <c:pt idx="3">
                  <c:v>Sin fuente</c:v>
                </c:pt>
                <c:pt idx="4">
                  <c:v>Afectado</c:v>
                </c:pt>
                <c:pt idx="5">
                  <c:v>Víctima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22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9A9-4A2E-B92F-AB8B8DEE07C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83A-4760-94D7-D9412BCE2427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83A-4760-94D7-D9412BCE2427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83A-4760-94D7-D9412BCE2427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83A-4760-94D7-D9412BCE2427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83A-4760-94D7-D9412BCE2427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83A-4760-94D7-D9412BCE2427}"/>
              </c:ext>
            </c:extLst>
          </c:dPt>
          <c:cat>
            <c:strRef>
              <c:f>Hoja1!$A$2:$A$7</c:f>
              <c:strCache>
                <c:ptCount val="6"/>
                <c:pt idx="0">
                  <c:v>Oficial</c:v>
                </c:pt>
                <c:pt idx="1">
                  <c:v>Experto</c:v>
                </c:pt>
                <c:pt idx="2">
                  <c:v>Ciudadano</c:v>
                </c:pt>
                <c:pt idx="3">
                  <c:v>Sin fuente</c:v>
                </c:pt>
                <c:pt idx="4">
                  <c:v>Afectado</c:v>
                </c:pt>
                <c:pt idx="5">
                  <c:v>Víctima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22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83A-4760-94D7-D9412BCE242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Oficial</c:v>
                </c:pt>
                <c:pt idx="1">
                  <c:v>Experto</c:v>
                </c:pt>
                <c:pt idx="2">
                  <c:v>Ciudadano</c:v>
                </c:pt>
                <c:pt idx="3">
                  <c:v>Sin fuente</c:v>
                </c:pt>
                <c:pt idx="4">
                  <c:v>Afectado</c:v>
                </c:pt>
                <c:pt idx="5">
                  <c:v>Víctima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D-383A-4760-94D7-D9412BCE242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Oficial</c:v>
                </c:pt>
                <c:pt idx="1">
                  <c:v>Experto</c:v>
                </c:pt>
                <c:pt idx="2">
                  <c:v>Ciudadano</c:v>
                </c:pt>
                <c:pt idx="3">
                  <c:v>Sin fuente</c:v>
                </c:pt>
                <c:pt idx="4">
                  <c:v>Afectado</c:v>
                </c:pt>
                <c:pt idx="5">
                  <c:v>Víctima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E-383A-4760-94D7-D9412BCE24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3427904"/>
        <c:axId val="883427072"/>
      </c:barChart>
      <c:catAx>
        <c:axId val="88342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83427072"/>
        <c:crosses val="autoZero"/>
        <c:auto val="1"/>
        <c:lblAlgn val="ctr"/>
        <c:lblOffset val="100"/>
        <c:noMultiLvlLbl val="0"/>
      </c:catAx>
      <c:valAx>
        <c:axId val="88342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83427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B7-4EFE-B5E7-837B23B5B9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B7-4EFE-B5E7-837B23B5B9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5B7-4EFE-B5E7-837B23B5B9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5B7-4EFE-B5E7-837B23B5B92C}"/>
              </c:ext>
            </c:extLst>
          </c:dPt>
          <c:dLbls>
            <c:dLbl>
              <c:idx val="0"/>
              <c:layout>
                <c:manualLayout>
                  <c:x val="0.15712850639763778"/>
                  <c:y val="-4.90938084957056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B7-4EFE-B5E7-837B23B5B92C}"/>
                </c:ext>
              </c:extLst>
            </c:dLbl>
            <c:dLbl>
              <c:idx val="1"/>
              <c:layout>
                <c:manualLayout>
                  <c:x val="-8.4953494094488186E-2"/>
                  <c:y val="-2.5261563406645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B7-4EFE-B5E7-837B23B5B9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Neutro</c:v>
                </c:pt>
                <c:pt idx="1">
                  <c:v>Negativo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5B7-4EFE-B5E7-837B23B5B92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61F-4ABA-A516-33C050A07011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61F-4ABA-A516-33C050A07011}"/>
              </c:ext>
            </c:extLst>
          </c:dPt>
          <c:cat>
            <c:strRef>
              <c:f>Hoja1!$A$2:$A$5</c:f>
              <c:strCache>
                <c:ptCount val="2"/>
                <c:pt idx="0">
                  <c:v>Neutro</c:v>
                </c:pt>
                <c:pt idx="1">
                  <c:v>Negativo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1F-4ABA-A516-33C050A0701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Neutro</c:v>
                </c:pt>
                <c:pt idx="1">
                  <c:v>Negativo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861F-4ABA-A516-33C050A0701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Neutro</c:v>
                </c:pt>
                <c:pt idx="1">
                  <c:v>Negativo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861F-4ABA-A516-33C050A070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29707040"/>
        <c:axId val="829713696"/>
      </c:barChart>
      <c:catAx>
        <c:axId val="82970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29713696"/>
        <c:crosses val="autoZero"/>
        <c:auto val="1"/>
        <c:lblAlgn val="ctr"/>
        <c:lblOffset val="100"/>
        <c:noMultiLvlLbl val="0"/>
      </c:catAx>
      <c:valAx>
        <c:axId val="82971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29707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DF9-49A5-86E2-C86FEF6E7DB5}"/>
              </c:ext>
            </c:extLst>
          </c:dPt>
          <c:cat>
            <c:strRef>
              <c:f>Hoja1!$A$2:$A$5</c:f>
              <c:strCache>
                <c:ptCount val="2"/>
                <c:pt idx="0">
                  <c:v>Archivo</c:v>
                </c:pt>
                <c:pt idx="1">
                  <c:v>Día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F9-49A5-86E2-C86FEF6E7DB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Archivo</c:v>
                </c:pt>
                <c:pt idx="1">
                  <c:v>Día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FDF9-49A5-86E2-C86FEF6E7DB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Archivo</c:v>
                </c:pt>
                <c:pt idx="1">
                  <c:v>Día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FDF9-49A5-86E2-C86FEF6E7D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29712032"/>
        <c:axId val="829708704"/>
      </c:barChart>
      <c:catAx>
        <c:axId val="82971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29708704"/>
        <c:crosses val="autoZero"/>
        <c:auto val="1"/>
        <c:lblAlgn val="ctr"/>
        <c:lblOffset val="100"/>
        <c:noMultiLvlLbl val="0"/>
      </c:catAx>
      <c:valAx>
        <c:axId val="82970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2971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4AC-4FEE-BF81-F3790B19D8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4AC-4FEE-BF81-F3790B19D8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4AC-4FEE-BF81-F3790B19D8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4AC-4FEE-BF81-F3790B19D8AD}"/>
              </c:ext>
            </c:extLst>
          </c:dPt>
          <c:dLbls>
            <c:dLbl>
              <c:idx val="0"/>
              <c:layout>
                <c:manualLayout>
                  <c:x val="0.10701390255905512"/>
                  <c:y val="-5.2529155233196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AC-4FEE-BF81-F3790B19D8AD}"/>
                </c:ext>
              </c:extLst>
            </c:dLbl>
            <c:dLbl>
              <c:idx val="1"/>
              <c:layout>
                <c:manualLayout>
                  <c:x val="-9.0061454232283497E-2"/>
                  <c:y val="4.03962819638113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AC-4FEE-BF81-F3790B19D8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Archivo</c:v>
                </c:pt>
                <c:pt idx="1">
                  <c:v>Día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4AC-4FEE-BF81-F3790B19D8A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28A-4719-A2D7-E22D86BF22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28A-4719-A2D7-E22D86BF22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28A-4719-A2D7-E22D86BF22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28A-4719-A2D7-E22D86BF228B}"/>
              </c:ext>
            </c:extLst>
          </c:dPt>
          <c:dLbls>
            <c:dLbl>
              <c:idx val="0"/>
              <c:layout>
                <c:manualLayout>
                  <c:x val="1.0188361220472441E-2"/>
                  <c:y val="-0.129863119472002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8A-4719-A2D7-E22D86BF228B}"/>
                </c:ext>
              </c:extLst>
            </c:dLbl>
            <c:dLbl>
              <c:idx val="1"/>
              <c:layout>
                <c:manualLayout>
                  <c:x val="-2.8104761318897636E-2"/>
                  <c:y val="0.104207178628987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8A-4719-A2D7-E22D86BF22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Ilustrativa</c:v>
                </c:pt>
                <c:pt idx="1">
                  <c:v>Genérica</c:v>
                </c:pt>
                <c:pt idx="3">
                  <c:v>4º trim.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16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28A-4719-A2D7-E22D86BF228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Hernández Pasachoa</dc:creator>
  <cp:keywords/>
  <dc:description/>
  <cp:lastModifiedBy>majo cepeda</cp:lastModifiedBy>
  <cp:revision>3</cp:revision>
  <dcterms:created xsi:type="dcterms:W3CDTF">2022-03-15T20:27:00Z</dcterms:created>
  <dcterms:modified xsi:type="dcterms:W3CDTF">2022-03-24T21:04:00Z</dcterms:modified>
</cp:coreProperties>
</file>