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9000" w14:textId="773E589B" w:rsidR="003E3A71" w:rsidRPr="000A4FB1" w:rsidRDefault="000A4FB1" w:rsidP="000A4FB1">
      <w:pPr>
        <w:jc w:val="center"/>
        <w:rPr>
          <w:rFonts w:ascii="Times New Roman" w:hAnsi="Times New Roman" w:cs="Times New Roman"/>
          <w:b/>
          <w:bCs/>
          <w:sz w:val="24"/>
          <w:szCs w:val="24"/>
        </w:rPr>
      </w:pPr>
      <w:bookmarkStart w:id="0" w:name="_GoBack"/>
      <w:bookmarkEnd w:id="0"/>
      <w:r w:rsidRPr="2116D774">
        <w:rPr>
          <w:rFonts w:ascii="Times New Roman" w:hAnsi="Times New Roman" w:cs="Times New Roman"/>
          <w:b/>
          <w:bCs/>
          <w:sz w:val="24"/>
          <w:szCs w:val="24"/>
        </w:rPr>
        <w:t>Reporte monitoreo de medios: sección economía</w:t>
      </w:r>
    </w:p>
    <w:p w14:paraId="39787754" w14:textId="381BF610" w:rsidR="2116D774" w:rsidRDefault="2116D774" w:rsidP="2116D774">
      <w:pPr>
        <w:jc w:val="center"/>
        <w:rPr>
          <w:rFonts w:ascii="Times New Roman" w:hAnsi="Times New Roman" w:cs="Times New Roman"/>
          <w:b/>
          <w:bCs/>
          <w:sz w:val="24"/>
          <w:szCs w:val="24"/>
        </w:rPr>
      </w:pPr>
      <w:r w:rsidRPr="2116D774">
        <w:rPr>
          <w:rFonts w:ascii="Times New Roman" w:hAnsi="Times New Roman" w:cs="Times New Roman"/>
          <w:b/>
          <w:bCs/>
          <w:sz w:val="24"/>
          <w:szCs w:val="24"/>
        </w:rPr>
        <w:t>Fundamentos de Investigación</w:t>
      </w:r>
    </w:p>
    <w:p w14:paraId="3F6FFCAC" w14:textId="1C6C1114" w:rsidR="008F3E2A" w:rsidRDefault="008F3E2A" w:rsidP="008F3E2A">
      <w:pPr>
        <w:rPr>
          <w:rFonts w:ascii="Times New Roman" w:hAnsi="Times New Roman" w:cs="Times New Roman"/>
          <w:b/>
          <w:bCs/>
          <w:sz w:val="24"/>
          <w:szCs w:val="24"/>
        </w:rPr>
      </w:pPr>
      <w:r w:rsidRPr="2116D774">
        <w:rPr>
          <w:rFonts w:ascii="Times New Roman" w:hAnsi="Times New Roman" w:cs="Times New Roman"/>
          <w:b/>
          <w:bCs/>
          <w:sz w:val="24"/>
          <w:szCs w:val="24"/>
        </w:rPr>
        <w:t>Por: Yerklin Moreno, Valentina Matamoros, Carlos García y William Cuéllar</w:t>
      </w:r>
    </w:p>
    <w:p w14:paraId="5BF209C3" w14:textId="6F6D6FF4" w:rsidR="000A4FB1" w:rsidRDefault="000A4FB1" w:rsidP="000A4FB1">
      <w:pPr>
        <w:jc w:val="center"/>
        <w:rPr>
          <w:rFonts w:ascii="Times New Roman" w:hAnsi="Times New Roman" w:cs="Times New Roman"/>
          <w:b/>
          <w:bCs/>
          <w:sz w:val="24"/>
          <w:szCs w:val="24"/>
        </w:rPr>
      </w:pPr>
    </w:p>
    <w:p w14:paraId="36A68721" w14:textId="77777777" w:rsidR="008213C2" w:rsidRDefault="008213C2" w:rsidP="008213C2">
      <w:pPr>
        <w:jc w:val="both"/>
        <w:rPr>
          <w:rFonts w:ascii="Times New Roman" w:hAnsi="Times New Roman" w:cs="Times New Roman"/>
          <w:sz w:val="24"/>
          <w:szCs w:val="24"/>
        </w:rPr>
      </w:pPr>
      <w:r>
        <w:rPr>
          <w:rFonts w:ascii="Times New Roman" w:hAnsi="Times New Roman" w:cs="Times New Roman"/>
          <w:sz w:val="24"/>
          <w:szCs w:val="24"/>
        </w:rPr>
        <w:t>El análisis realizado para esta segunda entrega de monitoreo de medios en la sección de economía del diario Vanguardia, corresponde a la semana del 15 al 28 de febrero de 2022. Análisis que se ejecutó desde las categorías: temática y región.</w:t>
      </w:r>
    </w:p>
    <w:p w14:paraId="2D9ADD1F" w14:textId="21EB9B56" w:rsidR="008213C2" w:rsidRDefault="008213C2" w:rsidP="008213C2">
      <w:pPr>
        <w:jc w:val="both"/>
      </w:pPr>
      <w:r>
        <w:rPr>
          <w:rFonts w:ascii="Times New Roman" w:hAnsi="Times New Roman" w:cs="Times New Roman"/>
          <w:sz w:val="24"/>
          <w:szCs w:val="24"/>
        </w:rPr>
        <w:t xml:space="preserve"> La muestra total de noticias de la sección de economía para el correspondiente análisis fue de 44 noticias; las cuales se dividieron en los siguientes ejes temáticos.</w:t>
      </w:r>
    </w:p>
    <w:p w14:paraId="5A50B134" w14:textId="66B303C3" w:rsidR="008A2390" w:rsidRDefault="008213C2" w:rsidP="00252F61">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77CDBE7F" wp14:editId="4CE94B23">
            <wp:simplePos x="0" y="0"/>
            <wp:positionH relativeFrom="margin">
              <wp:posOffset>-635</wp:posOffset>
            </wp:positionH>
            <wp:positionV relativeFrom="paragraph">
              <wp:posOffset>78105</wp:posOffset>
            </wp:positionV>
            <wp:extent cx="4770120" cy="3628390"/>
            <wp:effectExtent l="0" t="0" r="11430" b="10160"/>
            <wp:wrapSquare wrapText="bothSides"/>
            <wp:docPr id="1" name="Gráfico 1">
              <a:extLst xmlns:a="http://schemas.openxmlformats.org/drawingml/2006/main">
                <a:ext uri="{FF2B5EF4-FFF2-40B4-BE49-F238E27FC236}">
                  <a16:creationId xmlns:a16="http://schemas.microsoft.com/office/drawing/2014/main" id="{D62C40AA-09E6-4B85-9EE1-302E7A989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0F5BB929" w14:textId="3BD7DE5F" w:rsidR="001700C2" w:rsidRDefault="001700C2" w:rsidP="001700C2">
      <w:pPr>
        <w:rPr>
          <w:rFonts w:ascii="Times New Roman" w:hAnsi="Times New Roman" w:cs="Times New Roman"/>
          <w:sz w:val="24"/>
          <w:szCs w:val="24"/>
        </w:rPr>
      </w:pPr>
    </w:p>
    <w:p w14:paraId="637AA532" w14:textId="616C5527" w:rsidR="0018052F" w:rsidRDefault="0018052F" w:rsidP="001700C2">
      <w:pPr>
        <w:rPr>
          <w:rFonts w:ascii="Times New Roman" w:hAnsi="Times New Roman" w:cs="Times New Roman"/>
          <w:sz w:val="24"/>
          <w:szCs w:val="24"/>
        </w:rPr>
      </w:pPr>
    </w:p>
    <w:p w14:paraId="140BAA3D" w14:textId="1E8E9D4F" w:rsidR="0018052F" w:rsidRDefault="0018052F" w:rsidP="001700C2">
      <w:pPr>
        <w:rPr>
          <w:rFonts w:ascii="Times New Roman" w:hAnsi="Times New Roman" w:cs="Times New Roman"/>
          <w:sz w:val="24"/>
          <w:szCs w:val="24"/>
        </w:rPr>
      </w:pPr>
    </w:p>
    <w:p w14:paraId="6035AD8C" w14:textId="064FC980" w:rsidR="0018052F" w:rsidRDefault="0018052F" w:rsidP="001700C2">
      <w:pPr>
        <w:rPr>
          <w:rFonts w:ascii="Times New Roman" w:hAnsi="Times New Roman" w:cs="Times New Roman"/>
          <w:sz w:val="24"/>
          <w:szCs w:val="24"/>
        </w:rPr>
      </w:pPr>
    </w:p>
    <w:p w14:paraId="3DF1EDB8" w14:textId="05398ADB" w:rsidR="0018052F" w:rsidRDefault="0018052F" w:rsidP="001700C2">
      <w:pPr>
        <w:rPr>
          <w:rFonts w:ascii="Times New Roman" w:hAnsi="Times New Roman" w:cs="Times New Roman"/>
          <w:sz w:val="24"/>
          <w:szCs w:val="24"/>
        </w:rPr>
      </w:pPr>
    </w:p>
    <w:p w14:paraId="0B90B353" w14:textId="493C40BB" w:rsidR="0018052F" w:rsidRDefault="0018052F" w:rsidP="001700C2">
      <w:pPr>
        <w:rPr>
          <w:rFonts w:ascii="Times New Roman" w:hAnsi="Times New Roman" w:cs="Times New Roman"/>
          <w:sz w:val="24"/>
          <w:szCs w:val="24"/>
        </w:rPr>
      </w:pPr>
    </w:p>
    <w:p w14:paraId="278C2E03" w14:textId="47CDE808" w:rsidR="0018052F" w:rsidRDefault="0018052F" w:rsidP="001700C2">
      <w:pPr>
        <w:rPr>
          <w:rFonts w:ascii="Times New Roman" w:hAnsi="Times New Roman" w:cs="Times New Roman"/>
          <w:sz w:val="24"/>
          <w:szCs w:val="24"/>
        </w:rPr>
      </w:pPr>
    </w:p>
    <w:p w14:paraId="414B4490" w14:textId="7F9210FD" w:rsidR="0018052F" w:rsidRDefault="0018052F" w:rsidP="001700C2">
      <w:pPr>
        <w:rPr>
          <w:rFonts w:ascii="Times New Roman" w:hAnsi="Times New Roman" w:cs="Times New Roman"/>
          <w:sz w:val="24"/>
          <w:szCs w:val="24"/>
        </w:rPr>
      </w:pPr>
    </w:p>
    <w:p w14:paraId="21A2C175" w14:textId="7BE46F9B" w:rsidR="0018052F" w:rsidRDefault="0018052F" w:rsidP="001700C2">
      <w:pPr>
        <w:rPr>
          <w:rFonts w:ascii="Times New Roman" w:hAnsi="Times New Roman" w:cs="Times New Roman"/>
          <w:sz w:val="24"/>
          <w:szCs w:val="24"/>
        </w:rPr>
      </w:pPr>
    </w:p>
    <w:p w14:paraId="059A7FCE" w14:textId="1325A3EE" w:rsidR="0018052F" w:rsidRDefault="0018052F" w:rsidP="001700C2">
      <w:pPr>
        <w:rPr>
          <w:rFonts w:ascii="Times New Roman" w:hAnsi="Times New Roman" w:cs="Times New Roman"/>
          <w:sz w:val="24"/>
          <w:szCs w:val="24"/>
        </w:rPr>
      </w:pPr>
    </w:p>
    <w:p w14:paraId="260EADBD" w14:textId="1C2C020E" w:rsidR="0018052F" w:rsidRDefault="0018052F" w:rsidP="001700C2">
      <w:pPr>
        <w:rPr>
          <w:rFonts w:ascii="Times New Roman" w:hAnsi="Times New Roman" w:cs="Times New Roman"/>
          <w:sz w:val="24"/>
          <w:szCs w:val="24"/>
        </w:rPr>
      </w:pPr>
    </w:p>
    <w:p w14:paraId="5F57971F" w14:textId="3E4D5767" w:rsidR="0018052F" w:rsidRDefault="0018052F" w:rsidP="001700C2">
      <w:pPr>
        <w:rPr>
          <w:rFonts w:ascii="Times New Roman" w:hAnsi="Times New Roman" w:cs="Times New Roman"/>
          <w:sz w:val="24"/>
          <w:szCs w:val="24"/>
        </w:rPr>
      </w:pPr>
    </w:p>
    <w:p w14:paraId="381EEDC6" w14:textId="77777777" w:rsidR="0018052F" w:rsidRDefault="0018052F" w:rsidP="001700C2">
      <w:pPr>
        <w:rPr>
          <w:rFonts w:ascii="Times New Roman" w:hAnsi="Times New Roman" w:cs="Times New Roman"/>
          <w:sz w:val="24"/>
          <w:szCs w:val="24"/>
        </w:rPr>
      </w:pPr>
    </w:p>
    <w:p w14:paraId="473310DF" w14:textId="77777777" w:rsidR="008213C2" w:rsidRDefault="008213C2" w:rsidP="008213C2">
      <w:pPr>
        <w:rPr>
          <w:rFonts w:ascii="Times New Roman" w:hAnsi="Times New Roman" w:cs="Times New Roman"/>
          <w:sz w:val="24"/>
          <w:szCs w:val="24"/>
        </w:rPr>
      </w:pPr>
      <w:r>
        <w:rPr>
          <w:rFonts w:ascii="Times New Roman" w:hAnsi="Times New Roman" w:cs="Times New Roman"/>
          <w:sz w:val="24"/>
          <w:szCs w:val="24"/>
        </w:rPr>
        <w:t xml:space="preserve">De la categoría denominada “Temática de la noticia” se obtuvieron las siguientes conclusiones: </w:t>
      </w:r>
    </w:p>
    <w:p w14:paraId="0D1B092A" w14:textId="77777777" w:rsidR="008213C2" w:rsidRDefault="008213C2" w:rsidP="008213C2">
      <w:pPr>
        <w:pStyle w:val="Prrafodelista"/>
        <w:numPr>
          <w:ilvl w:val="0"/>
          <w:numId w:val="7"/>
        </w:numPr>
        <w:spacing w:line="256" w:lineRule="auto"/>
        <w:jc w:val="both"/>
        <w:rPr>
          <w:rFonts w:eastAsiaTheme="minorEastAsia"/>
          <w:sz w:val="24"/>
          <w:szCs w:val="24"/>
        </w:rPr>
      </w:pPr>
      <w:r>
        <w:rPr>
          <w:rFonts w:ascii="Times New Roman" w:hAnsi="Times New Roman" w:cs="Times New Roman"/>
          <w:sz w:val="24"/>
          <w:szCs w:val="24"/>
        </w:rPr>
        <w:t xml:space="preserve">El eje temático principal de la sección de economía son las noticias relacionadas con el crecimiento, reactivación e inversión económica. </w:t>
      </w:r>
    </w:p>
    <w:p w14:paraId="613B550A" w14:textId="77777777"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t xml:space="preserve">Las noticias relacionadas con el comercio y emprendimiento son temas abordados por Vanguardia, pero cabe aclarar que las noticias correlacionadas con estos ejes temáticas son noticias que en su mayoría se refieren al comercio y emprendimiento de la ciudad, Bucaramanga. </w:t>
      </w:r>
    </w:p>
    <w:p w14:paraId="3C3A5718" w14:textId="77777777"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lastRenderedPageBreak/>
        <w:t xml:space="preserve">La sección de economía es comúnmente una sección utilizada para exponer nuevos emprendimientos locales, por ende, la aparición de noticias de este tipo durante la semana.  </w:t>
      </w:r>
    </w:p>
    <w:p w14:paraId="252C143A" w14:textId="77777777"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t>El tema de los subsidios y auxilios económicos es un tema que aumenta su campo noticioso en la sección de economía a partir del mes de febrero debido a que en febrero se programa el calendario del ingreso de los subsidios y se abren convocatorias a programas de vida digna y casa digna.</w:t>
      </w:r>
    </w:p>
    <w:p w14:paraId="2710CD1D" w14:textId="77777777"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t xml:space="preserve"> Los hechos noticiosos que abordan el tema del turismo son mayormente hechos presentados en Santander y que se relacionan con el crecimiento turístico del territorio nacional.</w:t>
      </w:r>
    </w:p>
    <w:p w14:paraId="4A99956B" w14:textId="77777777"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t xml:space="preserve">A pesar de ser la sección de economía, se considera que la cantidad de noticias que hablan acerca de indicadores del consumidor son relativamente bajas, pues si se realiza la comparación con las que aborda la sección de economía en la temática de denuncia ciudadana (una temática más propensa a aparecer en otras secciones) nos damos cuenta de que hay más noticias de este tipo. </w:t>
      </w:r>
    </w:p>
    <w:p w14:paraId="01061972" w14:textId="77777777"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t xml:space="preserve">Las consultas ejecutadas a la población en manera de encuesta sobre aspectos económicos del país son un tipo de noticia que tiende a aparecer casi semanalmente en la sección. </w:t>
      </w:r>
    </w:p>
    <w:p w14:paraId="620AC948" w14:textId="7E6539F4" w:rsidR="008213C2" w:rsidRDefault="008213C2" w:rsidP="008213C2">
      <w:pPr>
        <w:pStyle w:val="Prrafodelista"/>
        <w:numPr>
          <w:ilvl w:val="0"/>
          <w:numId w:val="7"/>
        </w:numPr>
        <w:spacing w:line="256" w:lineRule="auto"/>
        <w:jc w:val="both"/>
        <w:rPr>
          <w:sz w:val="24"/>
          <w:szCs w:val="24"/>
        </w:rPr>
      </w:pPr>
      <w:r>
        <w:rPr>
          <w:noProof/>
        </w:rPr>
        <w:drawing>
          <wp:anchor distT="0" distB="0" distL="114300" distR="114300" simplePos="0" relativeHeight="251662336" behindDoc="0" locked="0" layoutInCell="1" allowOverlap="1" wp14:anchorId="6A442C41" wp14:editId="59D1D959">
            <wp:simplePos x="0" y="0"/>
            <wp:positionH relativeFrom="margin">
              <wp:posOffset>-203835</wp:posOffset>
            </wp:positionH>
            <wp:positionV relativeFrom="paragraph">
              <wp:posOffset>930910</wp:posOffset>
            </wp:positionV>
            <wp:extent cx="6140450" cy="3898900"/>
            <wp:effectExtent l="0" t="0" r="12700" b="6350"/>
            <wp:wrapSquare wrapText="bothSides"/>
            <wp:docPr id="2" name="Gráfico 2">
              <a:extLst xmlns:a="http://schemas.openxmlformats.org/drawingml/2006/main">
                <a:ext uri="{FF2B5EF4-FFF2-40B4-BE49-F238E27FC236}">
                  <a16:creationId xmlns:a16="http://schemas.microsoft.com/office/drawing/2014/main" id="{D0D9AE5B-F464-48C7-AAD5-730FF4B88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En comparación con el monitoreo semanal anterior, el índice de noticias que contienen información sobre oportunidades laborales para los ciudadanos fue bajo. </w:t>
      </w:r>
    </w:p>
    <w:p w14:paraId="52D8C911" w14:textId="620F8C73" w:rsidR="008213C2" w:rsidRDefault="008213C2" w:rsidP="008213C2">
      <w:pPr>
        <w:pStyle w:val="Prrafodelista"/>
        <w:numPr>
          <w:ilvl w:val="0"/>
          <w:numId w:val="7"/>
        </w:numPr>
        <w:spacing w:line="256" w:lineRule="auto"/>
        <w:jc w:val="both"/>
        <w:rPr>
          <w:sz w:val="24"/>
          <w:szCs w:val="24"/>
        </w:rPr>
      </w:pPr>
      <w:r>
        <w:rPr>
          <w:rFonts w:ascii="Times New Roman" w:hAnsi="Times New Roman" w:cs="Times New Roman"/>
          <w:sz w:val="24"/>
          <w:szCs w:val="24"/>
        </w:rPr>
        <w:lastRenderedPageBreak/>
        <w:t xml:space="preserve">Se registró la aparición de nuevos ejes temáticos como las noticias relacionadas con Instituto nacional de vigilancia de medicamentos (Invima) y la activación del seguro contra terrorismo. </w:t>
      </w:r>
    </w:p>
    <w:p w14:paraId="3383B677" w14:textId="401EF336" w:rsidR="2116D774" w:rsidRDefault="2116D774" w:rsidP="2116D774">
      <w:pPr>
        <w:spacing w:line="360" w:lineRule="auto"/>
        <w:rPr>
          <w:rFonts w:ascii="Times New Roman" w:hAnsi="Times New Roman" w:cs="Times New Roman"/>
          <w:sz w:val="24"/>
          <w:szCs w:val="24"/>
        </w:rPr>
      </w:pPr>
    </w:p>
    <w:p w14:paraId="7ED73BBD" w14:textId="375B4C3F" w:rsidR="2116D774" w:rsidRDefault="2116D774" w:rsidP="2116D774">
      <w:pPr>
        <w:spacing w:line="360" w:lineRule="auto"/>
        <w:rPr>
          <w:rFonts w:ascii="Times New Roman" w:hAnsi="Times New Roman" w:cs="Times New Roman"/>
          <w:sz w:val="24"/>
          <w:szCs w:val="24"/>
        </w:rPr>
      </w:pPr>
    </w:p>
    <w:p w14:paraId="3CC358BE" w14:textId="5AFA1985" w:rsidR="2116D774" w:rsidRDefault="2116D774" w:rsidP="2116D774">
      <w:pPr>
        <w:spacing w:line="360" w:lineRule="auto"/>
        <w:rPr>
          <w:rFonts w:ascii="Times New Roman" w:hAnsi="Times New Roman" w:cs="Times New Roman"/>
          <w:sz w:val="24"/>
          <w:szCs w:val="24"/>
        </w:rPr>
      </w:pPr>
    </w:p>
    <w:p w14:paraId="44DAD7FE" w14:textId="6A4ADEE4" w:rsidR="2116D774" w:rsidRDefault="2116D774" w:rsidP="2116D774">
      <w:pPr>
        <w:spacing w:line="360" w:lineRule="auto"/>
        <w:rPr>
          <w:rFonts w:ascii="Times New Roman" w:hAnsi="Times New Roman" w:cs="Times New Roman"/>
          <w:sz w:val="24"/>
          <w:szCs w:val="24"/>
        </w:rPr>
      </w:pPr>
    </w:p>
    <w:p w14:paraId="634E930F" w14:textId="77777777" w:rsidR="008A2390" w:rsidRPr="008A2390" w:rsidRDefault="008A2390" w:rsidP="008A2390">
      <w:pPr>
        <w:rPr>
          <w:rFonts w:ascii="Times New Roman" w:hAnsi="Times New Roman" w:cs="Times New Roman"/>
          <w:sz w:val="24"/>
          <w:szCs w:val="24"/>
        </w:rPr>
      </w:pPr>
    </w:p>
    <w:p w14:paraId="0A966CE4" w14:textId="02194423" w:rsidR="006926AC" w:rsidRDefault="006926AC" w:rsidP="006926AC">
      <w:pPr>
        <w:rPr>
          <w:rFonts w:ascii="Times New Roman" w:hAnsi="Times New Roman" w:cs="Times New Roman"/>
          <w:sz w:val="24"/>
          <w:szCs w:val="24"/>
        </w:rPr>
      </w:pPr>
    </w:p>
    <w:p w14:paraId="1E57A25F" w14:textId="0CC6C852" w:rsidR="0018052F" w:rsidRDefault="0018052F" w:rsidP="006926AC">
      <w:pPr>
        <w:rPr>
          <w:rFonts w:ascii="Times New Roman" w:hAnsi="Times New Roman" w:cs="Times New Roman"/>
          <w:sz w:val="24"/>
          <w:szCs w:val="24"/>
        </w:rPr>
      </w:pPr>
    </w:p>
    <w:p w14:paraId="40FFA664" w14:textId="2A9F1170" w:rsidR="0018052F" w:rsidRDefault="0018052F" w:rsidP="006926AC">
      <w:pPr>
        <w:rPr>
          <w:rFonts w:ascii="Times New Roman" w:hAnsi="Times New Roman" w:cs="Times New Roman"/>
          <w:sz w:val="24"/>
          <w:szCs w:val="24"/>
        </w:rPr>
      </w:pPr>
    </w:p>
    <w:p w14:paraId="336CB7A0" w14:textId="77777777" w:rsidR="0018052F" w:rsidRDefault="0018052F" w:rsidP="006926AC">
      <w:pPr>
        <w:rPr>
          <w:rFonts w:ascii="Times New Roman" w:hAnsi="Times New Roman" w:cs="Times New Roman"/>
          <w:sz w:val="24"/>
          <w:szCs w:val="24"/>
        </w:rPr>
      </w:pPr>
    </w:p>
    <w:p w14:paraId="15292667" w14:textId="4CC456F4" w:rsidR="006926AC" w:rsidRDefault="006926AC" w:rsidP="2116D774">
      <w:pPr>
        <w:rPr>
          <w:rFonts w:ascii="Times New Roman" w:hAnsi="Times New Roman" w:cs="Times New Roman"/>
          <w:sz w:val="24"/>
          <w:szCs w:val="24"/>
        </w:rPr>
      </w:pPr>
    </w:p>
    <w:p w14:paraId="2348A556" w14:textId="34FB8DCA" w:rsidR="008213C2" w:rsidRDefault="008213C2" w:rsidP="2116D774">
      <w:pPr>
        <w:rPr>
          <w:rFonts w:ascii="Times New Roman" w:hAnsi="Times New Roman" w:cs="Times New Roman"/>
          <w:sz w:val="24"/>
          <w:szCs w:val="24"/>
        </w:rPr>
      </w:pPr>
    </w:p>
    <w:p w14:paraId="317B450B" w14:textId="77777777" w:rsidR="008213C2" w:rsidRDefault="008213C2" w:rsidP="2116D774">
      <w:pPr>
        <w:rPr>
          <w:rFonts w:ascii="Times New Roman" w:hAnsi="Times New Roman" w:cs="Times New Roman"/>
          <w:sz w:val="24"/>
          <w:szCs w:val="24"/>
        </w:rPr>
      </w:pPr>
    </w:p>
    <w:p w14:paraId="085BEFF6" w14:textId="77777777" w:rsidR="008213C2" w:rsidRDefault="008213C2" w:rsidP="008213C2">
      <w:pPr>
        <w:rPr>
          <w:rFonts w:ascii="Times New Roman" w:hAnsi="Times New Roman" w:cs="Times New Roman"/>
          <w:sz w:val="24"/>
          <w:szCs w:val="24"/>
        </w:rPr>
      </w:pPr>
      <w:r>
        <w:rPr>
          <w:rFonts w:ascii="Times New Roman" w:hAnsi="Times New Roman" w:cs="Times New Roman"/>
          <w:sz w:val="24"/>
          <w:szCs w:val="24"/>
        </w:rPr>
        <w:t>De la categoría denominada “Regiones” se obtuvieron las siguientes conclusiones:</w:t>
      </w:r>
    </w:p>
    <w:p w14:paraId="4A11583B" w14:textId="77777777" w:rsidR="008213C2" w:rsidRDefault="008213C2" w:rsidP="008213C2">
      <w:pPr>
        <w:pStyle w:val="Prrafodelista"/>
        <w:numPr>
          <w:ilvl w:val="0"/>
          <w:numId w:val="8"/>
        </w:numPr>
        <w:spacing w:line="256" w:lineRule="auto"/>
        <w:jc w:val="both"/>
        <w:rPr>
          <w:rFonts w:eastAsiaTheme="minorEastAsia"/>
          <w:sz w:val="24"/>
          <w:szCs w:val="24"/>
        </w:rPr>
      </w:pPr>
      <w:r>
        <w:rPr>
          <w:rFonts w:ascii="Times New Roman" w:hAnsi="Times New Roman" w:cs="Times New Roman"/>
          <w:sz w:val="24"/>
          <w:szCs w:val="24"/>
        </w:rPr>
        <w:t xml:space="preserve">El territorio nacional prevalece como el lugar que predomina como el sitio del hecho de las noticias de la sección de economía. Esto se debe mayormente a que la sección de economía presenta datos y estadísticas de la economía de la nación a nivel general y en otras ocasiones se limita a una región o ciudad específica. </w:t>
      </w:r>
    </w:p>
    <w:p w14:paraId="16729B30" w14:textId="77777777" w:rsidR="008213C2" w:rsidRDefault="008213C2" w:rsidP="008213C2">
      <w:pPr>
        <w:pStyle w:val="Prrafodelista"/>
        <w:numPr>
          <w:ilvl w:val="0"/>
          <w:numId w:val="8"/>
        </w:numPr>
        <w:spacing w:line="256" w:lineRule="auto"/>
        <w:jc w:val="both"/>
        <w:rPr>
          <w:sz w:val="24"/>
          <w:szCs w:val="24"/>
        </w:rPr>
      </w:pPr>
      <w:r>
        <w:rPr>
          <w:rFonts w:ascii="Times New Roman" w:hAnsi="Times New Roman" w:cs="Times New Roman"/>
          <w:sz w:val="24"/>
          <w:szCs w:val="24"/>
        </w:rPr>
        <w:t xml:space="preserve">Bucaramanga continua como la ciudad principal en donde tienen sitio los sucesos económicos. </w:t>
      </w:r>
    </w:p>
    <w:p w14:paraId="45B84C6A" w14:textId="77777777" w:rsidR="008213C2" w:rsidRDefault="008213C2" w:rsidP="008213C2">
      <w:pPr>
        <w:pStyle w:val="Prrafodelista"/>
        <w:numPr>
          <w:ilvl w:val="0"/>
          <w:numId w:val="8"/>
        </w:numPr>
        <w:spacing w:line="256" w:lineRule="auto"/>
        <w:jc w:val="both"/>
        <w:rPr>
          <w:sz w:val="24"/>
          <w:szCs w:val="24"/>
        </w:rPr>
      </w:pPr>
      <w:r>
        <w:rPr>
          <w:rFonts w:ascii="Times New Roman" w:hAnsi="Times New Roman" w:cs="Times New Roman"/>
          <w:sz w:val="24"/>
          <w:szCs w:val="24"/>
        </w:rPr>
        <w:t xml:space="preserve">Santander se ubica número uno como la región en que más noticias de economía se presentan, claro que, hay que mencionar que Santander es la región principal de cubrimiento de Vanguardia y por ende su dominio regional. </w:t>
      </w:r>
    </w:p>
    <w:p w14:paraId="4A585F64" w14:textId="77777777" w:rsidR="008213C2" w:rsidRDefault="008213C2" w:rsidP="008213C2">
      <w:pPr>
        <w:pStyle w:val="Prrafodelista"/>
        <w:numPr>
          <w:ilvl w:val="0"/>
          <w:numId w:val="8"/>
        </w:numPr>
        <w:spacing w:line="256" w:lineRule="auto"/>
        <w:jc w:val="both"/>
        <w:rPr>
          <w:sz w:val="24"/>
          <w:szCs w:val="24"/>
        </w:rPr>
      </w:pPr>
      <w:r>
        <w:rPr>
          <w:rFonts w:ascii="Times New Roman" w:hAnsi="Times New Roman" w:cs="Times New Roman"/>
          <w:sz w:val="24"/>
          <w:szCs w:val="24"/>
        </w:rPr>
        <w:t xml:space="preserve">La sección de economía contiene noticias en las que se habla acerca de </w:t>
      </w:r>
      <w:proofErr w:type="spellStart"/>
      <w:r>
        <w:rPr>
          <w:rFonts w:ascii="Times New Roman" w:hAnsi="Times New Roman" w:cs="Times New Roman"/>
          <w:sz w:val="24"/>
          <w:szCs w:val="24"/>
        </w:rPr>
        <w:t>tips</w:t>
      </w:r>
      <w:proofErr w:type="spellEnd"/>
      <w:r>
        <w:rPr>
          <w:rFonts w:ascii="Times New Roman" w:hAnsi="Times New Roman" w:cs="Times New Roman"/>
          <w:sz w:val="24"/>
          <w:szCs w:val="24"/>
        </w:rPr>
        <w:t xml:space="preserve">, consejos y alternativas para crecer laboralmente, son este tipo de noticias las que no registran una región específica para el análisis. </w:t>
      </w:r>
    </w:p>
    <w:p w14:paraId="3B5053D9" w14:textId="77777777" w:rsidR="008213C2" w:rsidRDefault="008213C2" w:rsidP="008213C2">
      <w:pPr>
        <w:pStyle w:val="Prrafodelista"/>
        <w:numPr>
          <w:ilvl w:val="0"/>
          <w:numId w:val="8"/>
        </w:numPr>
        <w:spacing w:line="256" w:lineRule="auto"/>
        <w:jc w:val="both"/>
        <w:rPr>
          <w:sz w:val="24"/>
          <w:szCs w:val="24"/>
        </w:rPr>
      </w:pPr>
      <w:r>
        <w:rPr>
          <w:rFonts w:ascii="Times New Roman" w:hAnsi="Times New Roman" w:cs="Times New Roman"/>
          <w:sz w:val="24"/>
          <w:szCs w:val="24"/>
        </w:rPr>
        <w:t xml:space="preserve">San Gil y Lebrija, son algunos de las ciudades que hacen parte de la región. Esto nos quiere decir que la sección de economía no se limita a informar meramente sobre Bucaramanga y Santander (de manera general), sino que se remite a otro grupo poblacional especifico. </w:t>
      </w:r>
    </w:p>
    <w:p w14:paraId="13AD817A" w14:textId="77777777" w:rsidR="008213C2" w:rsidRDefault="008213C2" w:rsidP="008213C2">
      <w:pPr>
        <w:rPr>
          <w:rFonts w:ascii="Times New Roman" w:hAnsi="Times New Roman" w:cs="Times New Roman"/>
          <w:sz w:val="24"/>
          <w:szCs w:val="24"/>
        </w:rPr>
      </w:pPr>
    </w:p>
    <w:p w14:paraId="7B31B946" w14:textId="3D9DA5D2" w:rsidR="000A03C6" w:rsidRDefault="000A03C6" w:rsidP="000A03C6">
      <w:pPr>
        <w:rPr>
          <w:rFonts w:ascii="Times New Roman" w:hAnsi="Times New Roman" w:cs="Times New Roman"/>
          <w:sz w:val="24"/>
          <w:szCs w:val="24"/>
        </w:rPr>
      </w:pPr>
    </w:p>
    <w:p w14:paraId="63EF38A3" w14:textId="6B5CACC3" w:rsidR="000A03C6" w:rsidRDefault="000A03C6" w:rsidP="000A03C6">
      <w:pPr>
        <w:rPr>
          <w:rFonts w:ascii="Times New Roman" w:hAnsi="Times New Roman" w:cs="Times New Roman"/>
          <w:sz w:val="24"/>
          <w:szCs w:val="24"/>
        </w:rPr>
      </w:pPr>
    </w:p>
    <w:p w14:paraId="5D5CB617" w14:textId="35F1F662" w:rsidR="000A03C6" w:rsidRDefault="000A03C6" w:rsidP="000A03C6">
      <w:pPr>
        <w:rPr>
          <w:rFonts w:ascii="Times New Roman" w:hAnsi="Times New Roman" w:cs="Times New Roman"/>
          <w:sz w:val="24"/>
          <w:szCs w:val="24"/>
        </w:rPr>
      </w:pPr>
    </w:p>
    <w:p w14:paraId="67597BD9" w14:textId="06BF982A" w:rsidR="000A03C6" w:rsidRDefault="000A03C6" w:rsidP="000A03C6">
      <w:pPr>
        <w:rPr>
          <w:rFonts w:ascii="Times New Roman" w:hAnsi="Times New Roman" w:cs="Times New Roman"/>
          <w:sz w:val="24"/>
          <w:szCs w:val="24"/>
        </w:rPr>
      </w:pPr>
    </w:p>
    <w:p w14:paraId="7F3D468A" w14:textId="5CAE6ECD" w:rsidR="000A03C6" w:rsidRDefault="000A03C6" w:rsidP="000A03C6">
      <w:pPr>
        <w:rPr>
          <w:rFonts w:ascii="Times New Roman" w:hAnsi="Times New Roman" w:cs="Times New Roman"/>
          <w:sz w:val="24"/>
          <w:szCs w:val="24"/>
        </w:rPr>
      </w:pPr>
    </w:p>
    <w:p w14:paraId="2ADD9068" w14:textId="10F9A8C5" w:rsidR="000A03C6" w:rsidRDefault="000A03C6" w:rsidP="000A03C6">
      <w:pPr>
        <w:rPr>
          <w:rFonts w:ascii="Times New Roman" w:hAnsi="Times New Roman" w:cs="Times New Roman"/>
          <w:sz w:val="24"/>
          <w:szCs w:val="24"/>
        </w:rPr>
      </w:pPr>
    </w:p>
    <w:p w14:paraId="54CC4FE1" w14:textId="3D213B10" w:rsidR="000A03C6" w:rsidRDefault="000A03C6" w:rsidP="000A03C6">
      <w:pPr>
        <w:rPr>
          <w:rFonts w:ascii="Times New Roman" w:hAnsi="Times New Roman" w:cs="Times New Roman"/>
          <w:sz w:val="24"/>
          <w:szCs w:val="24"/>
        </w:rPr>
      </w:pPr>
    </w:p>
    <w:p w14:paraId="3EE3A3DD" w14:textId="3E1220F7" w:rsidR="000A03C6" w:rsidRDefault="000A03C6" w:rsidP="000A03C6">
      <w:pPr>
        <w:rPr>
          <w:rFonts w:ascii="Times New Roman" w:hAnsi="Times New Roman" w:cs="Times New Roman"/>
          <w:sz w:val="24"/>
          <w:szCs w:val="24"/>
        </w:rPr>
      </w:pPr>
    </w:p>
    <w:p w14:paraId="588768BD" w14:textId="5DC9FFA9" w:rsidR="000A03C6" w:rsidRDefault="000A03C6" w:rsidP="000A03C6">
      <w:pPr>
        <w:rPr>
          <w:rFonts w:ascii="Times New Roman" w:hAnsi="Times New Roman" w:cs="Times New Roman"/>
          <w:sz w:val="24"/>
          <w:szCs w:val="24"/>
        </w:rPr>
      </w:pPr>
    </w:p>
    <w:p w14:paraId="2961F0E7" w14:textId="2D63A716" w:rsidR="000A03C6" w:rsidRDefault="000A03C6" w:rsidP="000A03C6">
      <w:pPr>
        <w:rPr>
          <w:rFonts w:ascii="Times New Roman" w:hAnsi="Times New Roman" w:cs="Times New Roman"/>
          <w:sz w:val="24"/>
          <w:szCs w:val="24"/>
        </w:rPr>
      </w:pPr>
    </w:p>
    <w:p w14:paraId="630DB04F" w14:textId="1F31C52E" w:rsidR="000A03C6" w:rsidRDefault="000A03C6" w:rsidP="000A03C6">
      <w:pPr>
        <w:rPr>
          <w:rFonts w:ascii="Times New Roman" w:hAnsi="Times New Roman" w:cs="Times New Roman"/>
          <w:sz w:val="24"/>
          <w:szCs w:val="24"/>
        </w:rPr>
      </w:pPr>
    </w:p>
    <w:p w14:paraId="53664090" w14:textId="14C7BFC3" w:rsidR="000A03C6" w:rsidRDefault="000A03C6" w:rsidP="000A03C6">
      <w:pPr>
        <w:rPr>
          <w:rFonts w:ascii="Times New Roman" w:hAnsi="Times New Roman" w:cs="Times New Roman"/>
          <w:sz w:val="24"/>
          <w:szCs w:val="24"/>
        </w:rPr>
      </w:pPr>
    </w:p>
    <w:p w14:paraId="31188242" w14:textId="1449EB3B" w:rsidR="000A03C6" w:rsidRDefault="000A03C6" w:rsidP="000A03C6">
      <w:pPr>
        <w:rPr>
          <w:rFonts w:ascii="Times New Roman" w:hAnsi="Times New Roman" w:cs="Times New Roman"/>
          <w:sz w:val="24"/>
          <w:szCs w:val="24"/>
        </w:rPr>
      </w:pPr>
    </w:p>
    <w:p w14:paraId="72D1F452" w14:textId="7B96EF56" w:rsidR="000A03C6" w:rsidRDefault="000A03C6" w:rsidP="000A03C6">
      <w:pPr>
        <w:rPr>
          <w:rFonts w:ascii="Times New Roman" w:hAnsi="Times New Roman" w:cs="Times New Roman"/>
          <w:sz w:val="24"/>
          <w:szCs w:val="24"/>
        </w:rPr>
      </w:pPr>
    </w:p>
    <w:p w14:paraId="6868B8B1" w14:textId="14824149" w:rsidR="000A03C6" w:rsidRDefault="000A03C6" w:rsidP="000A03C6">
      <w:pPr>
        <w:rPr>
          <w:rFonts w:ascii="Times New Roman" w:hAnsi="Times New Roman" w:cs="Times New Roman"/>
          <w:sz w:val="24"/>
          <w:szCs w:val="24"/>
        </w:rPr>
      </w:pPr>
    </w:p>
    <w:p w14:paraId="640F3EF8" w14:textId="37EFABCD" w:rsidR="000A03C6" w:rsidRDefault="000A03C6" w:rsidP="000A03C6">
      <w:pPr>
        <w:rPr>
          <w:rFonts w:ascii="Times New Roman" w:hAnsi="Times New Roman" w:cs="Times New Roman"/>
          <w:sz w:val="24"/>
          <w:szCs w:val="24"/>
        </w:rPr>
      </w:pPr>
    </w:p>
    <w:p w14:paraId="64AB9208" w14:textId="250E165F" w:rsidR="00544B14" w:rsidRDefault="00544B14" w:rsidP="000A03C6">
      <w:pPr>
        <w:rPr>
          <w:rFonts w:ascii="Times New Roman" w:hAnsi="Times New Roman" w:cs="Times New Roman"/>
          <w:sz w:val="24"/>
          <w:szCs w:val="24"/>
        </w:rPr>
      </w:pPr>
    </w:p>
    <w:sectPr w:rsidR="00544B1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07CB9" w14:textId="77777777" w:rsidR="00924375" w:rsidRDefault="00924375">
      <w:pPr>
        <w:spacing w:after="0" w:line="240" w:lineRule="auto"/>
      </w:pPr>
      <w:r>
        <w:separator/>
      </w:r>
    </w:p>
  </w:endnote>
  <w:endnote w:type="continuationSeparator" w:id="0">
    <w:p w14:paraId="320A27F6" w14:textId="77777777" w:rsidR="00924375" w:rsidRDefault="0092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2116D774" w14:paraId="5A311EB2" w14:textId="77777777" w:rsidTr="2116D774">
      <w:tc>
        <w:tcPr>
          <w:tcW w:w="2945" w:type="dxa"/>
        </w:tcPr>
        <w:p w14:paraId="4DDCC990" w14:textId="56A40182" w:rsidR="2116D774" w:rsidRDefault="2116D774" w:rsidP="2116D774">
          <w:pPr>
            <w:pStyle w:val="Encabezado"/>
            <w:ind w:left="-115"/>
          </w:pPr>
        </w:p>
      </w:tc>
      <w:tc>
        <w:tcPr>
          <w:tcW w:w="2945" w:type="dxa"/>
        </w:tcPr>
        <w:p w14:paraId="54FEA33B" w14:textId="5110ED34" w:rsidR="2116D774" w:rsidRDefault="2116D774" w:rsidP="2116D774">
          <w:pPr>
            <w:pStyle w:val="Encabezado"/>
            <w:jc w:val="center"/>
          </w:pPr>
        </w:p>
      </w:tc>
      <w:tc>
        <w:tcPr>
          <w:tcW w:w="2945" w:type="dxa"/>
        </w:tcPr>
        <w:p w14:paraId="16974546" w14:textId="75FAB20C" w:rsidR="2116D774" w:rsidRDefault="2116D774" w:rsidP="2116D774">
          <w:pPr>
            <w:pStyle w:val="Encabezado"/>
            <w:ind w:right="-115"/>
            <w:jc w:val="right"/>
          </w:pPr>
        </w:p>
      </w:tc>
    </w:tr>
  </w:tbl>
  <w:p w14:paraId="4ECDB066" w14:textId="5D505A37" w:rsidR="2116D774" w:rsidRDefault="2116D774" w:rsidP="2116D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F4C1" w14:textId="77777777" w:rsidR="00924375" w:rsidRDefault="00924375">
      <w:pPr>
        <w:spacing w:after="0" w:line="240" w:lineRule="auto"/>
      </w:pPr>
      <w:r>
        <w:separator/>
      </w:r>
    </w:p>
  </w:footnote>
  <w:footnote w:type="continuationSeparator" w:id="0">
    <w:p w14:paraId="1303BC23" w14:textId="77777777" w:rsidR="00924375" w:rsidRDefault="0092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2116D774" w14:paraId="6A552152" w14:textId="77777777" w:rsidTr="2116D774">
      <w:tc>
        <w:tcPr>
          <w:tcW w:w="2945" w:type="dxa"/>
        </w:tcPr>
        <w:p w14:paraId="5AC3CBEF" w14:textId="3AF3F415" w:rsidR="2116D774" w:rsidRDefault="2116D774" w:rsidP="2116D774">
          <w:pPr>
            <w:pStyle w:val="Encabezado"/>
            <w:ind w:left="-115"/>
          </w:pPr>
        </w:p>
      </w:tc>
      <w:tc>
        <w:tcPr>
          <w:tcW w:w="2945" w:type="dxa"/>
        </w:tcPr>
        <w:p w14:paraId="7855B658" w14:textId="3092684D" w:rsidR="2116D774" w:rsidRDefault="2116D774" w:rsidP="2116D774">
          <w:pPr>
            <w:pStyle w:val="Encabezado"/>
            <w:jc w:val="center"/>
          </w:pPr>
        </w:p>
      </w:tc>
      <w:tc>
        <w:tcPr>
          <w:tcW w:w="2945" w:type="dxa"/>
        </w:tcPr>
        <w:p w14:paraId="775546A4" w14:textId="2F16369C" w:rsidR="2116D774" w:rsidRDefault="2116D774" w:rsidP="2116D774">
          <w:pPr>
            <w:pStyle w:val="Encabezado"/>
            <w:ind w:right="-115"/>
            <w:jc w:val="right"/>
          </w:pPr>
        </w:p>
      </w:tc>
    </w:tr>
  </w:tbl>
  <w:p w14:paraId="66AD4491" w14:textId="5C9A1F76" w:rsidR="2116D774" w:rsidRDefault="2116D774" w:rsidP="2116D7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7D2"/>
    <w:multiLevelType w:val="hybridMultilevel"/>
    <w:tmpl w:val="28EA0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E7002"/>
    <w:multiLevelType w:val="hybridMultilevel"/>
    <w:tmpl w:val="FDD44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BB0987"/>
    <w:multiLevelType w:val="hybridMultilevel"/>
    <w:tmpl w:val="652A9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FC5E08"/>
    <w:multiLevelType w:val="hybridMultilevel"/>
    <w:tmpl w:val="4D5050E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56C03E3E"/>
    <w:multiLevelType w:val="hybridMultilevel"/>
    <w:tmpl w:val="10FCD530"/>
    <w:lvl w:ilvl="0" w:tplc="2D08CFFA">
      <w:start w:val="1"/>
      <w:numFmt w:val="bullet"/>
      <w:lvlText w:val=""/>
      <w:lvlJc w:val="left"/>
      <w:pPr>
        <w:ind w:left="720" w:hanging="360"/>
      </w:pPr>
      <w:rPr>
        <w:rFonts w:ascii="Symbol" w:hAnsi="Symbol" w:hint="default"/>
      </w:rPr>
    </w:lvl>
    <w:lvl w:ilvl="1" w:tplc="32123D9E">
      <w:start w:val="1"/>
      <w:numFmt w:val="bullet"/>
      <w:lvlText w:val="o"/>
      <w:lvlJc w:val="left"/>
      <w:pPr>
        <w:ind w:left="1440" w:hanging="360"/>
      </w:pPr>
      <w:rPr>
        <w:rFonts w:ascii="Courier New" w:hAnsi="Courier New" w:hint="default"/>
      </w:rPr>
    </w:lvl>
    <w:lvl w:ilvl="2" w:tplc="4A46ED98">
      <w:start w:val="1"/>
      <w:numFmt w:val="bullet"/>
      <w:lvlText w:val=""/>
      <w:lvlJc w:val="left"/>
      <w:pPr>
        <w:ind w:left="2160" w:hanging="360"/>
      </w:pPr>
      <w:rPr>
        <w:rFonts w:ascii="Wingdings" w:hAnsi="Wingdings" w:hint="default"/>
      </w:rPr>
    </w:lvl>
    <w:lvl w:ilvl="3" w:tplc="5E30D690">
      <w:start w:val="1"/>
      <w:numFmt w:val="bullet"/>
      <w:lvlText w:val=""/>
      <w:lvlJc w:val="left"/>
      <w:pPr>
        <w:ind w:left="2880" w:hanging="360"/>
      </w:pPr>
      <w:rPr>
        <w:rFonts w:ascii="Symbol" w:hAnsi="Symbol" w:hint="default"/>
      </w:rPr>
    </w:lvl>
    <w:lvl w:ilvl="4" w:tplc="D828F4CC">
      <w:start w:val="1"/>
      <w:numFmt w:val="bullet"/>
      <w:lvlText w:val="o"/>
      <w:lvlJc w:val="left"/>
      <w:pPr>
        <w:ind w:left="3600" w:hanging="360"/>
      </w:pPr>
      <w:rPr>
        <w:rFonts w:ascii="Courier New" w:hAnsi="Courier New" w:hint="default"/>
      </w:rPr>
    </w:lvl>
    <w:lvl w:ilvl="5" w:tplc="D6228FC2">
      <w:start w:val="1"/>
      <w:numFmt w:val="bullet"/>
      <w:lvlText w:val=""/>
      <w:lvlJc w:val="left"/>
      <w:pPr>
        <w:ind w:left="4320" w:hanging="360"/>
      </w:pPr>
      <w:rPr>
        <w:rFonts w:ascii="Wingdings" w:hAnsi="Wingdings" w:hint="default"/>
      </w:rPr>
    </w:lvl>
    <w:lvl w:ilvl="6" w:tplc="6ABE90EE">
      <w:start w:val="1"/>
      <w:numFmt w:val="bullet"/>
      <w:lvlText w:val=""/>
      <w:lvlJc w:val="left"/>
      <w:pPr>
        <w:ind w:left="5040" w:hanging="360"/>
      </w:pPr>
      <w:rPr>
        <w:rFonts w:ascii="Symbol" w:hAnsi="Symbol" w:hint="default"/>
      </w:rPr>
    </w:lvl>
    <w:lvl w:ilvl="7" w:tplc="606CA794">
      <w:start w:val="1"/>
      <w:numFmt w:val="bullet"/>
      <w:lvlText w:val="o"/>
      <w:lvlJc w:val="left"/>
      <w:pPr>
        <w:ind w:left="5760" w:hanging="360"/>
      </w:pPr>
      <w:rPr>
        <w:rFonts w:ascii="Courier New" w:hAnsi="Courier New" w:hint="default"/>
      </w:rPr>
    </w:lvl>
    <w:lvl w:ilvl="8" w:tplc="44FE1776">
      <w:start w:val="1"/>
      <w:numFmt w:val="bullet"/>
      <w:lvlText w:val=""/>
      <w:lvlJc w:val="left"/>
      <w:pPr>
        <w:ind w:left="6480" w:hanging="360"/>
      </w:pPr>
      <w:rPr>
        <w:rFonts w:ascii="Wingdings" w:hAnsi="Wingdings" w:hint="default"/>
      </w:rPr>
    </w:lvl>
  </w:abstractNum>
  <w:abstractNum w:abstractNumId="5" w15:restartNumberingAfterBreak="0">
    <w:nsid w:val="73E72F80"/>
    <w:multiLevelType w:val="hybridMultilevel"/>
    <w:tmpl w:val="1BAAB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B1"/>
    <w:rsid w:val="000A03C6"/>
    <w:rsid w:val="000A4FB1"/>
    <w:rsid w:val="001700C2"/>
    <w:rsid w:val="0018052F"/>
    <w:rsid w:val="00252F61"/>
    <w:rsid w:val="00325922"/>
    <w:rsid w:val="003C0980"/>
    <w:rsid w:val="003E3A71"/>
    <w:rsid w:val="004337BE"/>
    <w:rsid w:val="004B1C9B"/>
    <w:rsid w:val="00544B14"/>
    <w:rsid w:val="005477CF"/>
    <w:rsid w:val="00575365"/>
    <w:rsid w:val="006926AC"/>
    <w:rsid w:val="006C03E5"/>
    <w:rsid w:val="007D09D0"/>
    <w:rsid w:val="008213C2"/>
    <w:rsid w:val="008A2390"/>
    <w:rsid w:val="008F3E2A"/>
    <w:rsid w:val="00924375"/>
    <w:rsid w:val="009F4AAD"/>
    <w:rsid w:val="00E026DD"/>
    <w:rsid w:val="00E77F34"/>
    <w:rsid w:val="00EA8FE0"/>
    <w:rsid w:val="00F148C2"/>
    <w:rsid w:val="0103B83D"/>
    <w:rsid w:val="02FF1348"/>
    <w:rsid w:val="0509E2C2"/>
    <w:rsid w:val="066153AC"/>
    <w:rsid w:val="0759D164"/>
    <w:rsid w:val="08A0B51A"/>
    <w:rsid w:val="0A46CEEB"/>
    <w:rsid w:val="0B34C4CF"/>
    <w:rsid w:val="0B36C8A0"/>
    <w:rsid w:val="0CF24190"/>
    <w:rsid w:val="0F64E349"/>
    <w:rsid w:val="1058A63C"/>
    <w:rsid w:val="11A60A24"/>
    <w:rsid w:val="14E17424"/>
    <w:rsid w:val="16E189F4"/>
    <w:rsid w:val="18154BA8"/>
    <w:rsid w:val="187D5A55"/>
    <w:rsid w:val="198A830E"/>
    <w:rsid w:val="1AA795F0"/>
    <w:rsid w:val="1F7B0713"/>
    <w:rsid w:val="1F7ED051"/>
    <w:rsid w:val="1FFBEEA6"/>
    <w:rsid w:val="20D421BF"/>
    <w:rsid w:val="20F5A5E6"/>
    <w:rsid w:val="2116D774"/>
    <w:rsid w:val="2197BF07"/>
    <w:rsid w:val="238D426B"/>
    <w:rsid w:val="243D3D5F"/>
    <w:rsid w:val="2678D494"/>
    <w:rsid w:val="28B76026"/>
    <w:rsid w:val="2B2A3F48"/>
    <w:rsid w:val="3560C650"/>
    <w:rsid w:val="3C623C4C"/>
    <w:rsid w:val="3D09B33D"/>
    <w:rsid w:val="3ED4DE05"/>
    <w:rsid w:val="42B1D541"/>
    <w:rsid w:val="44FB9CC5"/>
    <w:rsid w:val="47ED5511"/>
    <w:rsid w:val="48711BD1"/>
    <w:rsid w:val="4BAB57DC"/>
    <w:rsid w:val="4C4D70FD"/>
    <w:rsid w:val="4CC0C634"/>
    <w:rsid w:val="4D4F316E"/>
    <w:rsid w:val="4EEB01CF"/>
    <w:rsid w:val="503E4F6C"/>
    <w:rsid w:val="5086D230"/>
    <w:rsid w:val="51DA1FCD"/>
    <w:rsid w:val="55578C5F"/>
    <w:rsid w:val="555A4353"/>
    <w:rsid w:val="56F35CC0"/>
    <w:rsid w:val="56F9DCF2"/>
    <w:rsid w:val="56FE013A"/>
    <w:rsid w:val="587604C4"/>
    <w:rsid w:val="5A11D525"/>
    <w:rsid w:val="5BD1725D"/>
    <w:rsid w:val="5D691E76"/>
    <w:rsid w:val="60A4E380"/>
    <w:rsid w:val="612B81F7"/>
    <w:rsid w:val="630B57C0"/>
    <w:rsid w:val="6485A3FA"/>
    <w:rsid w:val="655487CC"/>
    <w:rsid w:val="66027EEF"/>
    <w:rsid w:val="6642F882"/>
    <w:rsid w:val="66C981C9"/>
    <w:rsid w:val="66F0582D"/>
    <w:rsid w:val="68B3BEA3"/>
    <w:rsid w:val="699F9410"/>
    <w:rsid w:val="6B1E72D6"/>
    <w:rsid w:val="6C71C073"/>
    <w:rsid w:val="6C778D82"/>
    <w:rsid w:val="6F230027"/>
    <w:rsid w:val="73D6C8BB"/>
    <w:rsid w:val="7776782A"/>
    <w:rsid w:val="77BC60A0"/>
    <w:rsid w:val="7804E364"/>
    <w:rsid w:val="7C8FD1C3"/>
    <w:rsid w:val="7DC429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0EF6"/>
  <w15:chartTrackingRefBased/>
  <w15:docId w15:val="{59AAC6DC-8AA2-4D5A-9F45-30C2F9F1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4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25922"/>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3616">
      <w:bodyDiv w:val="1"/>
      <w:marLeft w:val="0"/>
      <w:marRight w:val="0"/>
      <w:marTop w:val="0"/>
      <w:marBottom w:val="0"/>
      <w:divBdr>
        <w:top w:val="none" w:sz="0" w:space="0" w:color="auto"/>
        <w:left w:val="none" w:sz="0" w:space="0" w:color="auto"/>
        <w:bottom w:val="none" w:sz="0" w:space="0" w:color="auto"/>
        <w:right w:val="none" w:sz="0" w:space="0" w:color="auto"/>
      </w:divBdr>
    </w:div>
    <w:div w:id="1381244223">
      <w:bodyDiv w:val="1"/>
      <w:marLeft w:val="0"/>
      <w:marRight w:val="0"/>
      <w:marTop w:val="0"/>
      <w:marBottom w:val="0"/>
      <w:divBdr>
        <w:top w:val="none" w:sz="0" w:space="0" w:color="auto"/>
        <w:left w:val="none" w:sz="0" w:space="0" w:color="auto"/>
        <w:bottom w:val="none" w:sz="0" w:space="0" w:color="auto"/>
        <w:right w:val="none" w:sz="0" w:space="0" w:color="auto"/>
      </w:divBdr>
    </w:div>
    <w:div w:id="1941717065">
      <w:bodyDiv w:val="1"/>
      <w:marLeft w:val="0"/>
      <w:marRight w:val="0"/>
      <w:marTop w:val="0"/>
      <w:marBottom w:val="0"/>
      <w:divBdr>
        <w:top w:val="none" w:sz="0" w:space="0" w:color="auto"/>
        <w:left w:val="none" w:sz="0" w:space="0" w:color="auto"/>
        <w:bottom w:val="none" w:sz="0" w:space="0" w:color="auto"/>
        <w:right w:val="none" w:sz="0" w:space="0" w:color="auto"/>
      </w:divBdr>
    </w:div>
    <w:div w:id="21150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2400"/>
              <a:t>Temas de las Noticias</a:t>
            </a:r>
          </a:p>
        </c:rich>
      </c:tx>
      <c:layout>
        <c:manualLayout>
          <c:xMode val="edge"/>
          <c:yMode val="edge"/>
          <c:x val="1.3942022484157745E-2"/>
          <c:y val="6.058833094028777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6.7787869958305991E-2"/>
          <c:y val="0.24503757678644755"/>
          <c:w val="0.50423815682731477"/>
          <c:h val="0.66292037910251156"/>
        </c:manualLayout>
      </c:layout>
      <c:pieChart>
        <c:varyColors val="1"/>
        <c:ser>
          <c:idx val="0"/>
          <c:order val="0"/>
          <c:tx>
            <c:strRef>
              <c:f>Hoja1!$B$4</c:f>
              <c:strCache>
                <c:ptCount val="1"/>
                <c:pt idx="0">
                  <c:v>Temas</c:v>
                </c:pt>
              </c:strCache>
            </c:strRef>
          </c:tx>
          <c:spPr>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dPt>
            <c:idx val="0"/>
            <c:bubble3D val="0"/>
            <c:spPr>
              <a:solidFill>
                <a:schemeClr val="accent1"/>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1-32A3-46D5-BA32-850CFE47334D}"/>
              </c:ext>
            </c:extLst>
          </c:dPt>
          <c:dPt>
            <c:idx val="1"/>
            <c:bubble3D val="0"/>
            <c:spPr>
              <a:solidFill>
                <a:schemeClr val="accent2"/>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3-32A3-46D5-BA32-850CFE47334D}"/>
              </c:ext>
            </c:extLst>
          </c:dPt>
          <c:dPt>
            <c:idx val="2"/>
            <c:bubble3D val="0"/>
            <c:spPr>
              <a:solidFill>
                <a:schemeClr val="accent3"/>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5-32A3-46D5-BA32-850CFE47334D}"/>
              </c:ext>
            </c:extLst>
          </c:dPt>
          <c:dPt>
            <c:idx val="3"/>
            <c:bubble3D val="0"/>
            <c:spPr>
              <a:solidFill>
                <a:schemeClr val="accent4"/>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7-32A3-46D5-BA32-850CFE47334D}"/>
              </c:ext>
            </c:extLst>
          </c:dPt>
          <c:dPt>
            <c:idx val="4"/>
            <c:bubble3D val="0"/>
            <c:spPr>
              <a:solidFill>
                <a:schemeClr val="accent5"/>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9-32A3-46D5-BA32-850CFE47334D}"/>
              </c:ext>
            </c:extLst>
          </c:dPt>
          <c:dPt>
            <c:idx val="5"/>
            <c:bubble3D val="0"/>
            <c:spPr>
              <a:solidFill>
                <a:srgbClr val="00FF00"/>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B-32A3-46D5-BA32-850CFE47334D}"/>
              </c:ext>
            </c:extLst>
          </c:dPt>
          <c:dPt>
            <c:idx val="6"/>
            <c:bubble3D val="0"/>
            <c:spPr>
              <a:solidFill>
                <a:schemeClr val="accent1">
                  <a:lumMod val="60000"/>
                </a:schemeClr>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D-32A3-46D5-BA32-850CFE47334D}"/>
              </c:ext>
            </c:extLst>
          </c:dPt>
          <c:dPt>
            <c:idx val="7"/>
            <c:bubble3D val="0"/>
            <c:spPr>
              <a:solidFill>
                <a:srgbClr val="C00000"/>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0F-32A3-46D5-BA32-850CFE47334D}"/>
              </c:ext>
            </c:extLst>
          </c:dPt>
          <c:dPt>
            <c:idx val="8"/>
            <c:bubble3D val="0"/>
            <c:spPr>
              <a:solidFill>
                <a:schemeClr val="accent3">
                  <a:lumMod val="60000"/>
                </a:schemeClr>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11-32A3-46D5-BA32-850CFE47334D}"/>
              </c:ext>
            </c:extLst>
          </c:dPt>
          <c:dPt>
            <c:idx val="9"/>
            <c:bubble3D val="0"/>
            <c:spPr>
              <a:solidFill>
                <a:srgbClr val="FFFF00"/>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13-32A3-46D5-BA32-850CFE47334D}"/>
              </c:ext>
            </c:extLst>
          </c:dPt>
          <c:dPt>
            <c:idx val="10"/>
            <c:bubble3D val="0"/>
            <c:spPr>
              <a:solidFill>
                <a:schemeClr val="accent5">
                  <a:lumMod val="60000"/>
                </a:schemeClr>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15-32A3-46D5-BA32-850CFE47334D}"/>
              </c:ext>
            </c:extLst>
          </c:dPt>
          <c:dPt>
            <c:idx val="11"/>
            <c:bubble3D val="0"/>
            <c:spPr>
              <a:solidFill>
                <a:schemeClr val="accent6">
                  <a:lumMod val="60000"/>
                </a:schemeClr>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17-32A3-46D5-BA32-850CFE47334D}"/>
              </c:ext>
            </c:extLst>
          </c:dPt>
          <c:dPt>
            <c:idx val="12"/>
            <c:bubble3D val="0"/>
            <c:spPr>
              <a:solidFill>
                <a:schemeClr val="accent1">
                  <a:lumMod val="80000"/>
                  <a:lumOff val="20000"/>
                </a:schemeClr>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19-32A3-46D5-BA32-850CFE47334D}"/>
              </c:ext>
            </c:extLst>
          </c:dPt>
          <c:dPt>
            <c:idx val="13"/>
            <c:bubble3D val="0"/>
            <c:spPr>
              <a:solidFill>
                <a:schemeClr val="accent2">
                  <a:lumMod val="80000"/>
                  <a:lumOff val="20000"/>
                </a:schemeClr>
              </a:solidFill>
              <a:ln>
                <a:noFill/>
              </a:ln>
              <a:effectLst>
                <a:outerShdw blurRad="292100" dir="18060000" sx="84000" sy="84000" algn="ctr" rotWithShape="0">
                  <a:prstClr val="black">
                    <a:alpha val="71000"/>
                  </a:prstClr>
                </a:outerShdw>
                <a:softEdge rad="0"/>
              </a:effectLst>
              <a:scene3d>
                <a:camera prst="orthographicFront"/>
                <a:lightRig rig="threePt" dir="t"/>
              </a:scene3d>
              <a:sp3d>
                <a:bevelB w="101600" prst="riblet"/>
              </a:sp3d>
            </c:spPr>
            <c:extLst>
              <c:ext xmlns:c16="http://schemas.microsoft.com/office/drawing/2014/chart" uri="{C3380CC4-5D6E-409C-BE32-E72D297353CC}">
                <c16:uniqueId val="{0000001B-32A3-46D5-BA32-850CFE47334D}"/>
              </c:ext>
            </c:extLst>
          </c:dPt>
          <c:dLbls>
            <c:dLbl>
              <c:idx val="0"/>
              <c:layout>
                <c:manualLayout>
                  <c:x val="-3.0362774211648697E-2"/>
                  <c:y val="0.1578784874115796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A3-46D5-BA32-850CFE47334D}"/>
                </c:ext>
              </c:extLst>
            </c:dLbl>
            <c:dLbl>
              <c:idx val="4"/>
              <c:layout>
                <c:manualLayout>
                  <c:x val="-6.3124609473641097E-2"/>
                  <c:y val="-3.0687798634905786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s-CO"/>
                </a:p>
              </c:txPr>
              <c:dLblPos val="bestFit"/>
              <c:showLegendKey val="0"/>
              <c:showVal val="0"/>
              <c:showCatName val="0"/>
              <c:showSerName val="0"/>
              <c:showPercent val="1"/>
              <c:showBubbleSize val="0"/>
              <c:extLst>
                <c:ext xmlns:c15="http://schemas.microsoft.com/office/drawing/2012/chart" uri="{CE6537A1-D6FC-4f65-9D91-7224C49458BB}">
                  <c15:layout>
                    <c:manualLayout>
                      <c:w val="5.1067542745183755E-2"/>
                      <c:h val="6.5836622962677227E-2"/>
                    </c:manualLayout>
                  </c15:layout>
                </c:ext>
                <c:ext xmlns:c16="http://schemas.microsoft.com/office/drawing/2014/chart" uri="{C3380CC4-5D6E-409C-BE32-E72D297353CC}">
                  <c16:uniqueId val="{00000009-32A3-46D5-BA32-850CFE47334D}"/>
                </c:ext>
              </c:extLst>
            </c:dLbl>
            <c:dLbl>
              <c:idx val="11"/>
              <c:layout>
                <c:manualLayout>
                  <c:x val="5.5114452557877842E-2"/>
                  <c:y val="0.1307108993324153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32A3-46D5-BA32-850CFE47334D}"/>
                </c:ext>
              </c:extLst>
            </c:dLbl>
            <c:dLbl>
              <c:idx val="13"/>
              <c:layout>
                <c:manualLayout>
                  <c:x val="9.6098229657642122E-3"/>
                  <c:y val="5.29852633607244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B-32A3-46D5-BA32-850CFE47334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Hoja1!$A$5:$A$18</c:f>
              <c:strCache>
                <c:ptCount val="14"/>
                <c:pt idx="0">
                  <c:v>Oportunidad laboral</c:v>
                </c:pt>
                <c:pt idx="1">
                  <c:v>Baja de Precios</c:v>
                </c:pt>
                <c:pt idx="2">
                  <c:v>Comercio y emprendimiento</c:v>
                </c:pt>
                <c:pt idx="3">
                  <c:v>Cannabis</c:v>
                </c:pt>
                <c:pt idx="4">
                  <c:v>Invima</c:v>
                </c:pt>
                <c:pt idx="5">
                  <c:v>Crecimiento, reactivación e inversión</c:v>
                </c:pt>
                <c:pt idx="6">
                  <c:v>Encuesta Popular y Debate</c:v>
                </c:pt>
                <c:pt idx="7">
                  <c:v>Subsidios</c:v>
                </c:pt>
                <c:pt idx="8">
                  <c:v>Pavimentación vial y vehículos</c:v>
                </c:pt>
                <c:pt idx="9">
                  <c:v>Turismo </c:v>
                </c:pt>
                <c:pt idx="10">
                  <c:v>Política y denuncia ciudadana</c:v>
                </c:pt>
                <c:pt idx="11">
                  <c:v>Indicadores</c:v>
                </c:pt>
                <c:pt idx="12">
                  <c:v>Seguros </c:v>
                </c:pt>
                <c:pt idx="13">
                  <c:v>Interés bancario</c:v>
                </c:pt>
              </c:strCache>
            </c:strRef>
          </c:cat>
          <c:val>
            <c:numRef>
              <c:f>Hoja1!$B$5:$B$18</c:f>
              <c:numCache>
                <c:formatCode>General</c:formatCode>
                <c:ptCount val="14"/>
                <c:pt idx="0">
                  <c:v>2</c:v>
                </c:pt>
                <c:pt idx="1">
                  <c:v>3</c:v>
                </c:pt>
                <c:pt idx="2">
                  <c:v>7</c:v>
                </c:pt>
                <c:pt idx="3">
                  <c:v>1</c:v>
                </c:pt>
                <c:pt idx="4">
                  <c:v>1</c:v>
                </c:pt>
                <c:pt idx="5">
                  <c:v>13</c:v>
                </c:pt>
                <c:pt idx="6">
                  <c:v>2</c:v>
                </c:pt>
                <c:pt idx="7">
                  <c:v>5</c:v>
                </c:pt>
                <c:pt idx="8">
                  <c:v>2</c:v>
                </c:pt>
                <c:pt idx="9">
                  <c:v>5</c:v>
                </c:pt>
                <c:pt idx="10">
                  <c:v>3</c:v>
                </c:pt>
                <c:pt idx="11">
                  <c:v>2</c:v>
                </c:pt>
                <c:pt idx="12">
                  <c:v>1</c:v>
                </c:pt>
                <c:pt idx="13">
                  <c:v>1</c:v>
                </c:pt>
              </c:numCache>
            </c:numRef>
          </c:val>
          <c:extLst>
            <c:ext xmlns:c16="http://schemas.microsoft.com/office/drawing/2014/chart" uri="{C3380CC4-5D6E-409C-BE32-E72D297353CC}">
              <c16:uniqueId val="{0000001C-32A3-46D5-BA32-850CFE4733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1246732502248202"/>
          <c:y val="0"/>
          <c:w val="0.37624699453093724"/>
          <c:h val="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solidFill>
                  <a:schemeClr val="tx1"/>
                </a:solidFill>
              </a:rPr>
              <a:t>Regiones</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30"/>
      <c:rotY val="1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3189814814814816"/>
          <c:w val="0.93888888888888888"/>
          <c:h val="0.60027668416447943"/>
        </c:manualLayout>
      </c:layout>
      <c:pie3DChart>
        <c:varyColors val="1"/>
        <c:ser>
          <c:idx val="0"/>
          <c:order val="0"/>
          <c:tx>
            <c:strRef>
              <c:f>Hoja1!$B$21</c:f>
              <c:strCache>
                <c:ptCount val="1"/>
                <c:pt idx="0">
                  <c:v>Regiones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E3D-4220-9E1A-3DAF66E5CD6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E3D-4220-9E1A-3DAF66E5CD6A}"/>
              </c:ext>
            </c:extLst>
          </c:dPt>
          <c:dPt>
            <c:idx val="2"/>
            <c:bubble3D val="0"/>
            <c:spPr>
              <a:solidFill>
                <a:srgbClr val="00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E3D-4220-9E1A-3DAF66E5CD6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E3D-4220-9E1A-3DAF66E5CD6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E3D-4220-9E1A-3DAF66E5CD6A}"/>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E3D-4220-9E1A-3DAF66E5CD6A}"/>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E3D-4220-9E1A-3DAF66E5CD6A}"/>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E3D-4220-9E1A-3DAF66E5CD6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AE3D-4220-9E1A-3DAF66E5CD6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AE3D-4220-9E1A-3DAF66E5CD6A}"/>
                </c:ext>
              </c:extLst>
            </c:dLbl>
            <c:dLbl>
              <c:idx val="2"/>
              <c:layout>
                <c:manualLayout>
                  <c:x val="0.12339234070128505"/>
                  <c:y val="6.08361712492160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layout>
                    <c:manualLayout>
                      <c:w val="0.23506923202214092"/>
                      <c:h val="0.18538671685865743"/>
                    </c:manualLayout>
                  </c15:layout>
                </c:ext>
                <c:ext xmlns:c16="http://schemas.microsoft.com/office/drawing/2014/chart" uri="{C3380CC4-5D6E-409C-BE32-E72D297353CC}">
                  <c16:uniqueId val="{00000005-AE3D-4220-9E1A-3DAF66E5CD6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AE3D-4220-9E1A-3DAF66E5CD6A}"/>
                </c:ext>
              </c:extLst>
            </c:dLbl>
            <c:dLbl>
              <c:idx val="4"/>
              <c:layout>
                <c:manualLayout>
                  <c:x val="-2.7799229151453703E-3"/>
                  <c:y val="-2.304007848865810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E3D-4220-9E1A-3DAF66E5CD6A}"/>
                </c:ext>
              </c:extLst>
            </c:dLbl>
            <c:dLbl>
              <c:idx val="5"/>
              <c:layout>
                <c:manualLayout>
                  <c:x val="-6.6675356661921203E-2"/>
                  <c:y val="3.933213524925192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BC383FD6-DE17-4EAC-BF6E-65634745E1D2}" type="CATEGORYNAME">
                      <a:rPr lang="en-US" sz="600"/>
                      <a:pPr>
                        <a:defRPr>
                          <a:solidFill>
                            <a:schemeClr val="accent1"/>
                          </a:solidFill>
                        </a:defRPr>
                      </a:pPr>
                      <a:t>[NOMBRE DE CATEGORÍA]</a:t>
                    </a:fld>
                    <a:r>
                      <a:rPr lang="en-US" sz="600" baseline="0"/>
                      <a:t>
</a:t>
                    </a:r>
                    <a:fld id="{C5693DD8-001E-4945-8CDD-EFC9F3C0F96F}" type="PERCENTAGE">
                      <a:rPr lang="en-US" sz="600" baseline="0"/>
                      <a:pPr>
                        <a:defRPr>
                          <a:solidFill>
                            <a:schemeClr val="accent1"/>
                          </a:solidFill>
                        </a:defRPr>
                      </a:pPr>
                      <a:t>[PORCENTAJE]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layout>
                    <c:manualLayout>
                      <c:w val="0.1898418114415498"/>
                      <c:h val="0.14341160791809487"/>
                    </c:manualLayout>
                  </c15:layout>
                  <c15:dlblFieldTable/>
                  <c15:showDataLabelsRange val="0"/>
                </c:ext>
                <c:ext xmlns:c16="http://schemas.microsoft.com/office/drawing/2014/chart" uri="{C3380CC4-5D6E-409C-BE32-E72D297353CC}">
                  <c16:uniqueId val="{0000000B-AE3D-4220-9E1A-3DAF66E5CD6A}"/>
                </c:ext>
              </c:extLst>
            </c:dLbl>
            <c:dLbl>
              <c:idx val="6"/>
              <c:layout>
                <c:manualLayout>
                  <c:x val="-3.6138997896889812E-2"/>
                  <c:y val="-1.843206279092634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E3D-4220-9E1A-3DAF66E5CD6A}"/>
                </c:ext>
              </c:extLst>
            </c:dLbl>
            <c:dLbl>
              <c:idx val="7"/>
              <c:layout>
                <c:manualLayout>
                  <c:x val="-1.9444444444444445E-2"/>
                  <c:y val="-2.735780672248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E3D-4220-9E1A-3DAF66E5CD6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Hoja1!$A$22:$A$29</c:f>
              <c:strCache>
                <c:ptCount val="8"/>
                <c:pt idx="0">
                  <c:v>Bucaramanga</c:v>
                </c:pt>
                <c:pt idx="1">
                  <c:v>No registra</c:v>
                </c:pt>
                <c:pt idx="2">
                  <c:v>Territorio Nacional</c:v>
                </c:pt>
                <c:pt idx="3">
                  <c:v>Santander</c:v>
                </c:pt>
                <c:pt idx="4">
                  <c:v>Lebrija</c:v>
                </c:pt>
                <c:pt idx="5">
                  <c:v>Estados Unidos</c:v>
                </c:pt>
                <c:pt idx="6">
                  <c:v>San Gil</c:v>
                </c:pt>
                <c:pt idx="7">
                  <c:v>Casabe</c:v>
                </c:pt>
              </c:strCache>
            </c:strRef>
          </c:cat>
          <c:val>
            <c:numRef>
              <c:f>Hoja1!$B$22:$B$29</c:f>
              <c:numCache>
                <c:formatCode>General</c:formatCode>
                <c:ptCount val="8"/>
                <c:pt idx="0">
                  <c:v>7</c:v>
                </c:pt>
                <c:pt idx="1">
                  <c:v>3</c:v>
                </c:pt>
                <c:pt idx="2">
                  <c:v>23</c:v>
                </c:pt>
                <c:pt idx="3">
                  <c:v>7</c:v>
                </c:pt>
                <c:pt idx="4">
                  <c:v>1</c:v>
                </c:pt>
                <c:pt idx="5">
                  <c:v>1</c:v>
                </c:pt>
                <c:pt idx="6">
                  <c:v>1</c:v>
                </c:pt>
                <c:pt idx="7">
                  <c:v>1</c:v>
                </c:pt>
              </c:numCache>
            </c:numRef>
          </c:val>
          <c:extLst>
            <c:ext xmlns:c16="http://schemas.microsoft.com/office/drawing/2014/chart" uri="{C3380CC4-5D6E-409C-BE32-E72D297353CC}">
              <c16:uniqueId val="{00000010-AE3D-4220-9E1A-3DAF66E5CD6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Marciano F. Venté Alarcon</cp:lastModifiedBy>
  <cp:revision>2</cp:revision>
  <dcterms:created xsi:type="dcterms:W3CDTF">2022-03-03T16:14:00Z</dcterms:created>
  <dcterms:modified xsi:type="dcterms:W3CDTF">2022-03-03T16:14:00Z</dcterms:modified>
</cp:coreProperties>
</file>