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8D38" w14:textId="49BA9D0B" w:rsidR="00FB3F5B" w:rsidRDefault="00D779B2">
      <w:pPr>
        <w:rPr>
          <w:rFonts w:ascii="Arial" w:hAnsi="Arial" w:cs="Arial"/>
          <w:b/>
          <w:bCs/>
          <w:sz w:val="24"/>
          <w:szCs w:val="24"/>
        </w:rPr>
      </w:pPr>
      <w:r w:rsidRPr="00D779B2">
        <w:rPr>
          <w:rFonts w:ascii="Arial" w:hAnsi="Arial" w:cs="Arial"/>
          <w:b/>
          <w:bCs/>
          <w:sz w:val="24"/>
          <w:szCs w:val="24"/>
        </w:rPr>
        <w:t>ANÁLISIS SEMIÓTICO #4</w:t>
      </w:r>
    </w:p>
    <w:p w14:paraId="17279E31" w14:textId="77777777" w:rsidR="00D779B2" w:rsidRDefault="00D779B2">
      <w:pPr>
        <w:rPr>
          <w:rFonts w:ascii="Arial" w:hAnsi="Arial" w:cs="Arial"/>
          <w:b/>
          <w:bCs/>
          <w:sz w:val="24"/>
          <w:szCs w:val="24"/>
        </w:rPr>
      </w:pPr>
    </w:p>
    <w:p w14:paraId="39108492" w14:textId="1710D77A" w:rsidR="00D779B2" w:rsidRDefault="00D779B2" w:rsidP="00D779B2">
      <w:pPr>
        <w:rPr>
          <w:rFonts w:ascii="Arial" w:hAnsi="Arial" w:cs="Arial"/>
          <w:sz w:val="24"/>
          <w:szCs w:val="24"/>
        </w:rPr>
      </w:pPr>
      <w:r w:rsidRPr="00BC7BC3">
        <w:rPr>
          <w:rFonts w:ascii="Arial" w:hAnsi="Arial" w:cs="Arial"/>
          <w:sz w:val="24"/>
          <w:szCs w:val="24"/>
        </w:rPr>
        <w:t xml:space="preserve">Juan Felipe Peña </w:t>
      </w:r>
      <w:proofErr w:type="spellStart"/>
      <w:r w:rsidRPr="00BC7BC3">
        <w:rPr>
          <w:rFonts w:ascii="Arial" w:hAnsi="Arial" w:cs="Arial"/>
          <w:sz w:val="24"/>
          <w:szCs w:val="24"/>
        </w:rPr>
        <w:t>Cancino</w:t>
      </w:r>
      <w:proofErr w:type="spellEnd"/>
      <w:r w:rsidRPr="00BC7BC3">
        <w:rPr>
          <w:rFonts w:ascii="Arial" w:hAnsi="Arial" w:cs="Arial"/>
          <w:sz w:val="24"/>
          <w:szCs w:val="24"/>
        </w:rPr>
        <w:t>, Lesly Katherine Pérez esparza, Emmanuel D. Sánchez e Isabella D. Amaya.</w:t>
      </w:r>
    </w:p>
    <w:p w14:paraId="7C272315" w14:textId="2AD4346B" w:rsidR="007828C3" w:rsidRDefault="007828C3" w:rsidP="00D779B2">
      <w:pPr>
        <w:rPr>
          <w:rFonts w:ascii="Arial" w:hAnsi="Arial" w:cs="Arial"/>
          <w:sz w:val="24"/>
          <w:szCs w:val="24"/>
        </w:rPr>
      </w:pPr>
      <w:r>
        <w:rPr>
          <w:rFonts w:ascii="Arial" w:hAnsi="Arial" w:cs="Arial"/>
          <w:sz w:val="24"/>
          <w:szCs w:val="24"/>
        </w:rPr>
        <w:t>Sección: Colombia</w:t>
      </w:r>
    </w:p>
    <w:p w14:paraId="29316192" w14:textId="6678E392" w:rsidR="00D779B2" w:rsidRDefault="00D779B2" w:rsidP="00D779B2">
      <w:pPr>
        <w:rPr>
          <w:rFonts w:ascii="Arial" w:hAnsi="Arial" w:cs="Arial"/>
          <w:sz w:val="24"/>
          <w:szCs w:val="24"/>
        </w:rPr>
      </w:pPr>
    </w:p>
    <w:p w14:paraId="3325312A" w14:textId="77777777" w:rsidR="00D779B2" w:rsidRPr="00BC7BC3" w:rsidRDefault="00D779B2" w:rsidP="00D779B2">
      <w:pPr>
        <w:rPr>
          <w:rFonts w:ascii="Arial" w:hAnsi="Arial" w:cs="Arial"/>
          <w:b/>
          <w:bCs/>
          <w:sz w:val="24"/>
          <w:szCs w:val="24"/>
        </w:rPr>
      </w:pPr>
      <w:r w:rsidRPr="00BC7BC3">
        <w:rPr>
          <w:rFonts w:ascii="Arial" w:hAnsi="Arial" w:cs="Arial"/>
          <w:b/>
          <w:bCs/>
          <w:sz w:val="24"/>
          <w:szCs w:val="24"/>
        </w:rPr>
        <w:t>Estadísticas</w:t>
      </w:r>
    </w:p>
    <w:tbl>
      <w:tblPr>
        <w:tblW w:w="3080" w:type="dxa"/>
        <w:tblCellMar>
          <w:left w:w="70" w:type="dxa"/>
          <w:right w:w="70" w:type="dxa"/>
        </w:tblCellMar>
        <w:tblLook w:val="04A0" w:firstRow="1" w:lastRow="0" w:firstColumn="1" w:lastColumn="0" w:noHBand="0" w:noVBand="1"/>
      </w:tblPr>
      <w:tblGrid>
        <w:gridCol w:w="1880"/>
        <w:gridCol w:w="1200"/>
      </w:tblGrid>
      <w:tr w:rsidR="00D779B2" w:rsidRPr="00D779B2" w14:paraId="5813E33B" w14:textId="77777777" w:rsidTr="00D779B2">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EC831"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Tipo de titular</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972E6FA"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Cantidad</w:t>
            </w:r>
          </w:p>
        </w:tc>
      </w:tr>
      <w:tr w:rsidR="00D779B2" w:rsidRPr="00D779B2" w14:paraId="4EFEB945"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0E01232E"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Sensacionalista</w:t>
            </w:r>
          </w:p>
        </w:tc>
        <w:tc>
          <w:tcPr>
            <w:tcW w:w="1200" w:type="dxa"/>
            <w:tcBorders>
              <w:top w:val="nil"/>
              <w:left w:val="nil"/>
              <w:bottom w:val="single" w:sz="4" w:space="0" w:color="auto"/>
              <w:right w:val="single" w:sz="4" w:space="0" w:color="auto"/>
            </w:tcBorders>
            <w:shd w:val="clear" w:color="auto" w:fill="auto"/>
            <w:vAlign w:val="bottom"/>
            <w:hideMark/>
          </w:tcPr>
          <w:p w14:paraId="5CAF5FE5"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17</w:t>
            </w:r>
          </w:p>
        </w:tc>
      </w:tr>
      <w:tr w:rsidR="00D779B2" w:rsidRPr="00D779B2" w14:paraId="186BE02D"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1D16672F"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Expectativa</w:t>
            </w:r>
          </w:p>
        </w:tc>
        <w:tc>
          <w:tcPr>
            <w:tcW w:w="1200" w:type="dxa"/>
            <w:tcBorders>
              <w:top w:val="nil"/>
              <w:left w:val="nil"/>
              <w:bottom w:val="single" w:sz="4" w:space="0" w:color="auto"/>
              <w:right w:val="single" w:sz="4" w:space="0" w:color="auto"/>
            </w:tcBorders>
            <w:shd w:val="clear" w:color="auto" w:fill="auto"/>
            <w:vAlign w:val="bottom"/>
            <w:hideMark/>
          </w:tcPr>
          <w:p w14:paraId="7F8124C0"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18</w:t>
            </w:r>
          </w:p>
        </w:tc>
      </w:tr>
      <w:tr w:rsidR="00D779B2" w:rsidRPr="00D779B2" w14:paraId="14F5F221"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7D83CCBA"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Técnico</w:t>
            </w:r>
          </w:p>
        </w:tc>
        <w:tc>
          <w:tcPr>
            <w:tcW w:w="1200" w:type="dxa"/>
            <w:tcBorders>
              <w:top w:val="nil"/>
              <w:left w:val="nil"/>
              <w:bottom w:val="single" w:sz="4" w:space="0" w:color="auto"/>
              <w:right w:val="single" w:sz="4" w:space="0" w:color="auto"/>
            </w:tcBorders>
            <w:shd w:val="clear" w:color="auto" w:fill="auto"/>
            <w:vAlign w:val="bottom"/>
            <w:hideMark/>
          </w:tcPr>
          <w:p w14:paraId="4451E61E"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1</w:t>
            </w:r>
          </w:p>
        </w:tc>
      </w:tr>
      <w:tr w:rsidR="00D779B2" w:rsidRPr="00D779B2" w14:paraId="5A55041C"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3A569EAD"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Confuso</w:t>
            </w:r>
          </w:p>
        </w:tc>
        <w:tc>
          <w:tcPr>
            <w:tcW w:w="1200" w:type="dxa"/>
            <w:tcBorders>
              <w:top w:val="nil"/>
              <w:left w:val="nil"/>
              <w:bottom w:val="single" w:sz="4" w:space="0" w:color="auto"/>
              <w:right w:val="single" w:sz="4" w:space="0" w:color="auto"/>
            </w:tcBorders>
            <w:shd w:val="clear" w:color="auto" w:fill="auto"/>
            <w:vAlign w:val="bottom"/>
            <w:hideMark/>
          </w:tcPr>
          <w:p w14:paraId="28121FA7"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0</w:t>
            </w:r>
          </w:p>
        </w:tc>
      </w:tr>
    </w:tbl>
    <w:p w14:paraId="46BF4775" w14:textId="0A8B9A17" w:rsidR="00D779B2" w:rsidRDefault="00D779B2" w:rsidP="00D779B2">
      <w:pPr>
        <w:rPr>
          <w:rFonts w:ascii="Arial" w:hAnsi="Arial" w:cs="Arial"/>
          <w:sz w:val="24"/>
          <w:szCs w:val="24"/>
        </w:rPr>
      </w:pPr>
    </w:p>
    <w:p w14:paraId="28A317C2" w14:textId="66A22444" w:rsidR="00D779B2" w:rsidRDefault="00D779B2" w:rsidP="00D779B2">
      <w:pPr>
        <w:rPr>
          <w:rFonts w:ascii="Arial" w:hAnsi="Arial" w:cs="Arial"/>
          <w:sz w:val="24"/>
          <w:szCs w:val="24"/>
        </w:rPr>
      </w:pPr>
      <w:r>
        <w:rPr>
          <w:noProof/>
        </w:rPr>
        <w:drawing>
          <wp:inline distT="0" distB="0" distL="0" distR="0" wp14:anchorId="5B9132D1" wp14:editId="590F1E41">
            <wp:extent cx="3105150" cy="2057400"/>
            <wp:effectExtent l="0" t="0" r="0" b="0"/>
            <wp:docPr id="1" name="Gráfico 1">
              <a:extLst xmlns:a="http://schemas.openxmlformats.org/drawingml/2006/main">
                <a:ext uri="{FF2B5EF4-FFF2-40B4-BE49-F238E27FC236}">
                  <a16:creationId xmlns:a16="http://schemas.microsoft.com/office/drawing/2014/main" id="{AFFD854B-A1C3-4A1D-836D-F324CAD66E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bl>
      <w:tblPr>
        <w:tblW w:w="2400" w:type="dxa"/>
        <w:tblCellMar>
          <w:left w:w="70" w:type="dxa"/>
          <w:right w:w="70" w:type="dxa"/>
        </w:tblCellMar>
        <w:tblLook w:val="04A0" w:firstRow="1" w:lastRow="0" w:firstColumn="1" w:lastColumn="0" w:noHBand="0" w:noVBand="1"/>
      </w:tblPr>
      <w:tblGrid>
        <w:gridCol w:w="1200"/>
        <w:gridCol w:w="1200"/>
      </w:tblGrid>
      <w:tr w:rsidR="00D779B2" w:rsidRPr="00D779B2" w14:paraId="2930D3CA" w14:textId="77777777" w:rsidTr="00D779B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9D667"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Sesgo</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022FC2C"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Cantidad</w:t>
            </w:r>
          </w:p>
        </w:tc>
      </w:tr>
      <w:tr w:rsidR="00D779B2" w:rsidRPr="00D779B2" w14:paraId="491C46F8" w14:textId="77777777" w:rsidTr="00D779B2">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5139C1E0"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Positivo</w:t>
            </w:r>
          </w:p>
        </w:tc>
        <w:tc>
          <w:tcPr>
            <w:tcW w:w="1200" w:type="dxa"/>
            <w:tcBorders>
              <w:top w:val="nil"/>
              <w:left w:val="nil"/>
              <w:bottom w:val="single" w:sz="4" w:space="0" w:color="auto"/>
              <w:right w:val="single" w:sz="4" w:space="0" w:color="auto"/>
            </w:tcBorders>
            <w:shd w:val="clear" w:color="auto" w:fill="auto"/>
            <w:vAlign w:val="bottom"/>
            <w:hideMark/>
          </w:tcPr>
          <w:p w14:paraId="2FCF91E2"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2</w:t>
            </w:r>
          </w:p>
        </w:tc>
      </w:tr>
      <w:tr w:rsidR="00D779B2" w:rsidRPr="00D779B2" w14:paraId="49FD2B33" w14:textId="77777777" w:rsidTr="00D779B2">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5CDB76F4"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Negativo</w:t>
            </w:r>
          </w:p>
        </w:tc>
        <w:tc>
          <w:tcPr>
            <w:tcW w:w="1200" w:type="dxa"/>
            <w:tcBorders>
              <w:top w:val="nil"/>
              <w:left w:val="nil"/>
              <w:bottom w:val="single" w:sz="4" w:space="0" w:color="auto"/>
              <w:right w:val="single" w:sz="4" w:space="0" w:color="auto"/>
            </w:tcBorders>
            <w:shd w:val="clear" w:color="auto" w:fill="auto"/>
            <w:vAlign w:val="bottom"/>
            <w:hideMark/>
          </w:tcPr>
          <w:p w14:paraId="6A6F46D4"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2</w:t>
            </w:r>
          </w:p>
        </w:tc>
      </w:tr>
      <w:tr w:rsidR="00D779B2" w:rsidRPr="00D779B2" w14:paraId="0E657600" w14:textId="77777777" w:rsidTr="00D779B2">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106F2ADB"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Neutro</w:t>
            </w:r>
          </w:p>
        </w:tc>
        <w:tc>
          <w:tcPr>
            <w:tcW w:w="1200" w:type="dxa"/>
            <w:tcBorders>
              <w:top w:val="nil"/>
              <w:left w:val="nil"/>
              <w:bottom w:val="single" w:sz="4" w:space="0" w:color="auto"/>
              <w:right w:val="single" w:sz="4" w:space="0" w:color="auto"/>
            </w:tcBorders>
            <w:shd w:val="clear" w:color="auto" w:fill="auto"/>
            <w:vAlign w:val="bottom"/>
            <w:hideMark/>
          </w:tcPr>
          <w:p w14:paraId="13CBD98B"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32</w:t>
            </w:r>
          </w:p>
        </w:tc>
      </w:tr>
    </w:tbl>
    <w:p w14:paraId="75564115" w14:textId="656CA2EF" w:rsidR="00D779B2" w:rsidRDefault="00D779B2" w:rsidP="00D779B2">
      <w:pPr>
        <w:rPr>
          <w:rFonts w:ascii="Arial" w:hAnsi="Arial" w:cs="Arial"/>
          <w:sz w:val="24"/>
          <w:szCs w:val="24"/>
        </w:rPr>
      </w:pPr>
    </w:p>
    <w:p w14:paraId="13B388DD" w14:textId="5D023BE5" w:rsidR="00D779B2" w:rsidRDefault="00D779B2" w:rsidP="00D779B2">
      <w:pPr>
        <w:rPr>
          <w:rFonts w:ascii="Arial" w:hAnsi="Arial" w:cs="Arial"/>
          <w:sz w:val="24"/>
          <w:szCs w:val="24"/>
        </w:rPr>
      </w:pPr>
      <w:r>
        <w:rPr>
          <w:noProof/>
        </w:rPr>
        <w:lastRenderedPageBreak/>
        <w:drawing>
          <wp:inline distT="0" distB="0" distL="0" distR="0" wp14:anchorId="4109B555" wp14:editId="56C22B2D">
            <wp:extent cx="3019425" cy="2076450"/>
            <wp:effectExtent l="0" t="0" r="9525" b="0"/>
            <wp:docPr id="2" name="Gráfico 2">
              <a:extLst xmlns:a="http://schemas.openxmlformats.org/drawingml/2006/main">
                <a:ext uri="{FF2B5EF4-FFF2-40B4-BE49-F238E27FC236}">
                  <a16:creationId xmlns:a16="http://schemas.microsoft.com/office/drawing/2014/main" id="{E20CE7D0-537A-4550-B536-27DD986663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W w:w="3080" w:type="dxa"/>
        <w:tblCellMar>
          <w:left w:w="70" w:type="dxa"/>
          <w:right w:w="70" w:type="dxa"/>
        </w:tblCellMar>
        <w:tblLook w:val="04A0" w:firstRow="1" w:lastRow="0" w:firstColumn="1" w:lastColumn="0" w:noHBand="0" w:noVBand="1"/>
      </w:tblPr>
      <w:tblGrid>
        <w:gridCol w:w="1880"/>
        <w:gridCol w:w="1200"/>
      </w:tblGrid>
      <w:tr w:rsidR="00D779B2" w:rsidRPr="00D779B2" w14:paraId="76594F4B" w14:textId="77777777" w:rsidTr="00D779B2">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79FE7"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Tipo de fuente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F1E3EBA"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Cantidad</w:t>
            </w:r>
          </w:p>
        </w:tc>
      </w:tr>
      <w:tr w:rsidR="00D779B2" w:rsidRPr="00D779B2" w14:paraId="387C3566"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5B43D579"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Oficial</w:t>
            </w:r>
          </w:p>
        </w:tc>
        <w:tc>
          <w:tcPr>
            <w:tcW w:w="1200" w:type="dxa"/>
            <w:tcBorders>
              <w:top w:val="nil"/>
              <w:left w:val="nil"/>
              <w:bottom w:val="single" w:sz="4" w:space="0" w:color="auto"/>
              <w:right w:val="single" w:sz="4" w:space="0" w:color="auto"/>
            </w:tcBorders>
            <w:shd w:val="clear" w:color="auto" w:fill="auto"/>
            <w:vAlign w:val="bottom"/>
            <w:hideMark/>
          </w:tcPr>
          <w:p w14:paraId="54616C15"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44</w:t>
            </w:r>
          </w:p>
        </w:tc>
      </w:tr>
      <w:tr w:rsidR="00D779B2" w:rsidRPr="00D779B2" w14:paraId="17D2C486"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101966BF"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Experto</w:t>
            </w:r>
          </w:p>
        </w:tc>
        <w:tc>
          <w:tcPr>
            <w:tcW w:w="1200" w:type="dxa"/>
            <w:tcBorders>
              <w:top w:val="nil"/>
              <w:left w:val="nil"/>
              <w:bottom w:val="single" w:sz="4" w:space="0" w:color="auto"/>
              <w:right w:val="single" w:sz="4" w:space="0" w:color="auto"/>
            </w:tcBorders>
            <w:shd w:val="clear" w:color="auto" w:fill="auto"/>
            <w:vAlign w:val="bottom"/>
            <w:hideMark/>
          </w:tcPr>
          <w:p w14:paraId="398754F3"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0</w:t>
            </w:r>
          </w:p>
        </w:tc>
      </w:tr>
      <w:tr w:rsidR="00D779B2" w:rsidRPr="00D779B2" w14:paraId="340D8A74"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0BC9FEC8"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Afectado</w:t>
            </w:r>
          </w:p>
        </w:tc>
        <w:tc>
          <w:tcPr>
            <w:tcW w:w="1200" w:type="dxa"/>
            <w:tcBorders>
              <w:top w:val="nil"/>
              <w:left w:val="nil"/>
              <w:bottom w:val="single" w:sz="4" w:space="0" w:color="auto"/>
              <w:right w:val="single" w:sz="4" w:space="0" w:color="auto"/>
            </w:tcBorders>
            <w:shd w:val="clear" w:color="auto" w:fill="auto"/>
            <w:vAlign w:val="bottom"/>
            <w:hideMark/>
          </w:tcPr>
          <w:p w14:paraId="5F3FF7AD"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1</w:t>
            </w:r>
          </w:p>
        </w:tc>
      </w:tr>
      <w:tr w:rsidR="00D779B2" w:rsidRPr="00D779B2" w14:paraId="0DB2EBC4" w14:textId="77777777" w:rsidTr="00D779B2">
        <w:trPr>
          <w:trHeight w:val="300"/>
        </w:trPr>
        <w:tc>
          <w:tcPr>
            <w:tcW w:w="1880" w:type="dxa"/>
            <w:tcBorders>
              <w:top w:val="nil"/>
              <w:left w:val="single" w:sz="4" w:space="0" w:color="auto"/>
              <w:bottom w:val="nil"/>
              <w:right w:val="single" w:sz="4" w:space="0" w:color="auto"/>
            </w:tcBorders>
            <w:shd w:val="clear" w:color="auto" w:fill="auto"/>
            <w:vAlign w:val="bottom"/>
            <w:hideMark/>
          </w:tcPr>
          <w:p w14:paraId="06855F7B"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Sin fuente</w:t>
            </w:r>
          </w:p>
        </w:tc>
        <w:tc>
          <w:tcPr>
            <w:tcW w:w="1200" w:type="dxa"/>
            <w:tcBorders>
              <w:top w:val="nil"/>
              <w:left w:val="nil"/>
              <w:bottom w:val="nil"/>
              <w:right w:val="single" w:sz="4" w:space="0" w:color="auto"/>
            </w:tcBorders>
            <w:shd w:val="clear" w:color="auto" w:fill="auto"/>
            <w:vAlign w:val="bottom"/>
            <w:hideMark/>
          </w:tcPr>
          <w:p w14:paraId="45ACB545"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1</w:t>
            </w:r>
          </w:p>
        </w:tc>
      </w:tr>
      <w:tr w:rsidR="00D779B2" w:rsidRPr="00D779B2" w14:paraId="597DF02F" w14:textId="77777777" w:rsidTr="00D779B2">
        <w:trPr>
          <w:trHeight w:val="300"/>
        </w:trPr>
        <w:tc>
          <w:tcPr>
            <w:tcW w:w="1880" w:type="dxa"/>
            <w:tcBorders>
              <w:top w:val="nil"/>
              <w:left w:val="single" w:sz="4" w:space="0" w:color="auto"/>
              <w:bottom w:val="single" w:sz="4" w:space="0" w:color="auto"/>
              <w:right w:val="single" w:sz="4" w:space="0" w:color="auto"/>
            </w:tcBorders>
            <w:shd w:val="clear" w:color="auto" w:fill="auto"/>
            <w:vAlign w:val="bottom"/>
          </w:tcPr>
          <w:p w14:paraId="2F2122E7" w14:textId="77777777" w:rsidR="00D779B2" w:rsidRPr="00D779B2" w:rsidRDefault="00D779B2" w:rsidP="00D779B2">
            <w:pPr>
              <w:spacing w:after="0" w:line="240" w:lineRule="auto"/>
              <w:rPr>
                <w:rFonts w:ascii="Arial" w:eastAsia="Times New Roman" w:hAnsi="Arial" w:cs="Arial"/>
                <w:color w:val="000000"/>
                <w:lang w:eastAsia="es-CO"/>
              </w:rPr>
            </w:pPr>
          </w:p>
        </w:tc>
        <w:tc>
          <w:tcPr>
            <w:tcW w:w="1200" w:type="dxa"/>
            <w:tcBorders>
              <w:top w:val="nil"/>
              <w:left w:val="nil"/>
              <w:bottom w:val="single" w:sz="4" w:space="0" w:color="auto"/>
              <w:right w:val="single" w:sz="4" w:space="0" w:color="auto"/>
            </w:tcBorders>
            <w:shd w:val="clear" w:color="auto" w:fill="auto"/>
            <w:vAlign w:val="bottom"/>
          </w:tcPr>
          <w:p w14:paraId="2544BFC7" w14:textId="77777777" w:rsidR="00D779B2" w:rsidRPr="00D779B2" w:rsidRDefault="00D779B2" w:rsidP="00D779B2">
            <w:pPr>
              <w:spacing w:after="0" w:line="240" w:lineRule="auto"/>
              <w:jc w:val="right"/>
              <w:rPr>
                <w:rFonts w:ascii="Arial" w:eastAsia="Times New Roman" w:hAnsi="Arial" w:cs="Arial"/>
                <w:color w:val="000000"/>
                <w:lang w:eastAsia="es-CO"/>
              </w:rPr>
            </w:pPr>
          </w:p>
        </w:tc>
      </w:tr>
    </w:tbl>
    <w:p w14:paraId="39C0B90D" w14:textId="240B6D8F" w:rsidR="00D779B2" w:rsidRDefault="00D779B2" w:rsidP="00D779B2">
      <w:pPr>
        <w:rPr>
          <w:rFonts w:ascii="Arial" w:hAnsi="Arial" w:cs="Arial"/>
          <w:sz w:val="24"/>
          <w:szCs w:val="24"/>
        </w:rPr>
      </w:pPr>
    </w:p>
    <w:p w14:paraId="6576D8FE" w14:textId="7AA6FDB4" w:rsidR="00D779B2" w:rsidRDefault="00D779B2" w:rsidP="00D779B2">
      <w:pPr>
        <w:rPr>
          <w:rFonts w:ascii="Arial" w:hAnsi="Arial" w:cs="Arial"/>
          <w:sz w:val="24"/>
          <w:szCs w:val="24"/>
        </w:rPr>
      </w:pPr>
      <w:r>
        <w:rPr>
          <w:noProof/>
        </w:rPr>
        <w:drawing>
          <wp:inline distT="0" distB="0" distL="0" distR="0" wp14:anchorId="5FD5E945" wp14:editId="3FD4D75C">
            <wp:extent cx="3429000" cy="2209800"/>
            <wp:effectExtent l="0" t="0" r="0" b="0"/>
            <wp:docPr id="3" name="Gráfico 3">
              <a:extLst xmlns:a="http://schemas.openxmlformats.org/drawingml/2006/main">
                <a:ext uri="{FF2B5EF4-FFF2-40B4-BE49-F238E27FC236}">
                  <a16:creationId xmlns:a16="http://schemas.microsoft.com/office/drawing/2014/main" id="{31639976-1C8A-442B-B3F6-5F46BE19F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35FD16E" w14:textId="77777777" w:rsidR="00D779B2" w:rsidRDefault="00D779B2" w:rsidP="00D779B2">
      <w:pPr>
        <w:rPr>
          <w:rFonts w:ascii="Arial" w:hAnsi="Arial" w:cs="Arial"/>
          <w:sz w:val="24"/>
          <w:szCs w:val="24"/>
        </w:rPr>
      </w:pPr>
    </w:p>
    <w:p w14:paraId="43BDE519" w14:textId="77777777" w:rsidR="00D779B2" w:rsidRDefault="00D779B2" w:rsidP="00D779B2">
      <w:pPr>
        <w:rPr>
          <w:rFonts w:ascii="Arial" w:hAnsi="Arial" w:cs="Arial"/>
          <w:sz w:val="24"/>
          <w:szCs w:val="24"/>
        </w:rPr>
      </w:pPr>
    </w:p>
    <w:tbl>
      <w:tblPr>
        <w:tblW w:w="2400" w:type="dxa"/>
        <w:tblCellMar>
          <w:left w:w="70" w:type="dxa"/>
          <w:right w:w="70" w:type="dxa"/>
        </w:tblCellMar>
        <w:tblLook w:val="04A0" w:firstRow="1" w:lastRow="0" w:firstColumn="1" w:lastColumn="0" w:noHBand="0" w:noVBand="1"/>
      </w:tblPr>
      <w:tblGrid>
        <w:gridCol w:w="1200"/>
        <w:gridCol w:w="1200"/>
      </w:tblGrid>
      <w:tr w:rsidR="00D779B2" w:rsidRPr="00D779B2" w14:paraId="7E45DE26" w14:textId="77777777" w:rsidTr="00D779B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158D6"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Fotografía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6F9F557"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Cantidad</w:t>
            </w:r>
          </w:p>
        </w:tc>
      </w:tr>
      <w:tr w:rsidR="00D779B2" w:rsidRPr="00D779B2" w14:paraId="74F53088" w14:textId="77777777" w:rsidTr="00D779B2">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596845F3"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Archivo</w:t>
            </w:r>
          </w:p>
        </w:tc>
        <w:tc>
          <w:tcPr>
            <w:tcW w:w="1200" w:type="dxa"/>
            <w:tcBorders>
              <w:top w:val="nil"/>
              <w:left w:val="nil"/>
              <w:bottom w:val="single" w:sz="4" w:space="0" w:color="auto"/>
              <w:right w:val="single" w:sz="4" w:space="0" w:color="auto"/>
            </w:tcBorders>
            <w:shd w:val="clear" w:color="auto" w:fill="auto"/>
            <w:vAlign w:val="bottom"/>
            <w:hideMark/>
          </w:tcPr>
          <w:p w14:paraId="105055B8"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26</w:t>
            </w:r>
          </w:p>
        </w:tc>
      </w:tr>
      <w:tr w:rsidR="00D779B2" w:rsidRPr="00D779B2" w14:paraId="7BF27916" w14:textId="77777777" w:rsidTr="00D779B2">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7D53D68D" w14:textId="77777777" w:rsidR="00D779B2" w:rsidRPr="00D779B2" w:rsidRDefault="00D779B2" w:rsidP="00D779B2">
            <w:pPr>
              <w:spacing w:after="0" w:line="240" w:lineRule="auto"/>
              <w:rPr>
                <w:rFonts w:ascii="Arial" w:eastAsia="Times New Roman" w:hAnsi="Arial" w:cs="Arial"/>
                <w:color w:val="000000"/>
                <w:lang w:eastAsia="es-CO"/>
              </w:rPr>
            </w:pPr>
            <w:r w:rsidRPr="00D779B2">
              <w:rPr>
                <w:rFonts w:ascii="Arial" w:eastAsia="Times New Roman" w:hAnsi="Arial" w:cs="Arial"/>
                <w:color w:val="000000"/>
                <w:lang w:eastAsia="es-CO"/>
              </w:rPr>
              <w:t>Día</w:t>
            </w:r>
          </w:p>
        </w:tc>
        <w:tc>
          <w:tcPr>
            <w:tcW w:w="1200" w:type="dxa"/>
            <w:tcBorders>
              <w:top w:val="nil"/>
              <w:left w:val="nil"/>
              <w:bottom w:val="single" w:sz="4" w:space="0" w:color="auto"/>
              <w:right w:val="single" w:sz="4" w:space="0" w:color="auto"/>
            </w:tcBorders>
            <w:shd w:val="clear" w:color="auto" w:fill="auto"/>
            <w:vAlign w:val="bottom"/>
            <w:hideMark/>
          </w:tcPr>
          <w:p w14:paraId="145AD6E3" w14:textId="77777777" w:rsidR="00D779B2" w:rsidRPr="00D779B2" w:rsidRDefault="00D779B2" w:rsidP="00D779B2">
            <w:pPr>
              <w:spacing w:after="0" w:line="240" w:lineRule="auto"/>
              <w:jc w:val="right"/>
              <w:rPr>
                <w:rFonts w:ascii="Arial" w:eastAsia="Times New Roman" w:hAnsi="Arial" w:cs="Arial"/>
                <w:color w:val="000000"/>
                <w:lang w:eastAsia="es-CO"/>
              </w:rPr>
            </w:pPr>
            <w:r w:rsidRPr="00D779B2">
              <w:rPr>
                <w:rFonts w:ascii="Arial" w:eastAsia="Times New Roman" w:hAnsi="Arial" w:cs="Arial"/>
                <w:color w:val="000000"/>
                <w:lang w:eastAsia="es-CO"/>
              </w:rPr>
              <w:t>10</w:t>
            </w:r>
          </w:p>
        </w:tc>
      </w:tr>
    </w:tbl>
    <w:p w14:paraId="75199B17" w14:textId="6356CC7F" w:rsidR="00D779B2" w:rsidRDefault="00D779B2" w:rsidP="00D779B2">
      <w:pPr>
        <w:rPr>
          <w:rFonts w:ascii="Arial" w:hAnsi="Arial" w:cs="Arial"/>
          <w:sz w:val="24"/>
          <w:szCs w:val="24"/>
        </w:rPr>
      </w:pPr>
    </w:p>
    <w:p w14:paraId="13F00971" w14:textId="77777777" w:rsidR="00D779B2" w:rsidRDefault="00D779B2" w:rsidP="00D779B2">
      <w:pPr>
        <w:rPr>
          <w:rFonts w:ascii="Arial" w:hAnsi="Arial" w:cs="Arial"/>
          <w:sz w:val="24"/>
          <w:szCs w:val="24"/>
        </w:rPr>
      </w:pPr>
    </w:p>
    <w:p w14:paraId="73A27380" w14:textId="183E7FC5" w:rsidR="00D779B2" w:rsidRDefault="00D779B2" w:rsidP="00D779B2">
      <w:pPr>
        <w:rPr>
          <w:rFonts w:ascii="Arial" w:hAnsi="Arial" w:cs="Arial"/>
          <w:sz w:val="24"/>
          <w:szCs w:val="24"/>
        </w:rPr>
      </w:pPr>
      <w:r>
        <w:rPr>
          <w:noProof/>
        </w:rPr>
        <w:lastRenderedPageBreak/>
        <w:drawing>
          <wp:inline distT="0" distB="0" distL="0" distR="0" wp14:anchorId="517C6164" wp14:editId="0F3C93E2">
            <wp:extent cx="3429000" cy="2314575"/>
            <wp:effectExtent l="0" t="0" r="0" b="9525"/>
            <wp:docPr id="4" name="Gráfico 4">
              <a:extLst xmlns:a="http://schemas.openxmlformats.org/drawingml/2006/main">
                <a:ext uri="{FF2B5EF4-FFF2-40B4-BE49-F238E27FC236}">
                  <a16:creationId xmlns:a16="http://schemas.microsoft.com/office/drawing/2014/main" id="{88C9199C-1444-4B49-9D1C-84F95AB957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B87598" w14:textId="4F74326F" w:rsidR="00D779B2" w:rsidRDefault="00D779B2" w:rsidP="00D779B2">
      <w:pPr>
        <w:rPr>
          <w:rFonts w:ascii="Arial" w:hAnsi="Arial" w:cs="Arial"/>
          <w:sz w:val="24"/>
          <w:szCs w:val="24"/>
        </w:rPr>
      </w:pPr>
    </w:p>
    <w:tbl>
      <w:tblPr>
        <w:tblW w:w="3080" w:type="dxa"/>
        <w:tblCellMar>
          <w:left w:w="70" w:type="dxa"/>
          <w:right w:w="70" w:type="dxa"/>
        </w:tblCellMar>
        <w:tblLook w:val="04A0" w:firstRow="1" w:lastRow="0" w:firstColumn="1" w:lastColumn="0" w:noHBand="0" w:noVBand="1"/>
      </w:tblPr>
      <w:tblGrid>
        <w:gridCol w:w="1880"/>
        <w:gridCol w:w="1200"/>
      </w:tblGrid>
      <w:tr w:rsidR="00153DF1" w:rsidRPr="00153DF1" w14:paraId="282E9864" w14:textId="77777777" w:rsidTr="00153DF1">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B6F5D" w14:textId="77777777" w:rsidR="00153DF1" w:rsidRPr="00153DF1" w:rsidRDefault="00153DF1" w:rsidP="00153DF1">
            <w:pPr>
              <w:spacing w:after="0" w:line="240" w:lineRule="auto"/>
              <w:rPr>
                <w:rFonts w:ascii="Arial" w:eastAsia="Times New Roman" w:hAnsi="Arial" w:cs="Arial"/>
                <w:color w:val="000000"/>
                <w:lang w:eastAsia="es-CO"/>
              </w:rPr>
            </w:pPr>
            <w:r w:rsidRPr="00153DF1">
              <w:rPr>
                <w:rFonts w:ascii="Arial" w:eastAsia="Times New Roman" w:hAnsi="Arial" w:cs="Arial"/>
                <w:color w:val="000000"/>
                <w:lang w:eastAsia="es-CO"/>
              </w:rPr>
              <w:t>Tipo de imagen</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79C09BE" w14:textId="77777777" w:rsidR="00153DF1" w:rsidRPr="00153DF1" w:rsidRDefault="00153DF1" w:rsidP="00153DF1">
            <w:pPr>
              <w:spacing w:after="0" w:line="240" w:lineRule="auto"/>
              <w:rPr>
                <w:rFonts w:ascii="Arial" w:eastAsia="Times New Roman" w:hAnsi="Arial" w:cs="Arial"/>
                <w:color w:val="000000"/>
                <w:lang w:eastAsia="es-CO"/>
              </w:rPr>
            </w:pPr>
            <w:r w:rsidRPr="00153DF1">
              <w:rPr>
                <w:rFonts w:ascii="Arial" w:eastAsia="Times New Roman" w:hAnsi="Arial" w:cs="Arial"/>
                <w:color w:val="000000"/>
                <w:lang w:eastAsia="es-CO"/>
              </w:rPr>
              <w:t>Cantidad</w:t>
            </w:r>
          </w:p>
        </w:tc>
      </w:tr>
      <w:tr w:rsidR="00153DF1" w:rsidRPr="00153DF1" w14:paraId="23F80C57" w14:textId="77777777" w:rsidTr="00153DF1">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1E98EA0E" w14:textId="77777777" w:rsidR="00153DF1" w:rsidRPr="00153DF1" w:rsidRDefault="00153DF1" w:rsidP="00153DF1">
            <w:pPr>
              <w:spacing w:after="0" w:line="240" w:lineRule="auto"/>
              <w:rPr>
                <w:rFonts w:ascii="Arial" w:eastAsia="Times New Roman" w:hAnsi="Arial" w:cs="Arial"/>
                <w:color w:val="000000"/>
                <w:lang w:eastAsia="es-CO"/>
              </w:rPr>
            </w:pPr>
            <w:r w:rsidRPr="00153DF1">
              <w:rPr>
                <w:rFonts w:ascii="Arial" w:eastAsia="Times New Roman" w:hAnsi="Arial" w:cs="Arial"/>
                <w:color w:val="000000"/>
                <w:lang w:eastAsia="es-CO"/>
              </w:rPr>
              <w:t>Ilustrativa</w:t>
            </w:r>
          </w:p>
        </w:tc>
        <w:tc>
          <w:tcPr>
            <w:tcW w:w="1200" w:type="dxa"/>
            <w:tcBorders>
              <w:top w:val="nil"/>
              <w:left w:val="nil"/>
              <w:bottom w:val="single" w:sz="4" w:space="0" w:color="auto"/>
              <w:right w:val="single" w:sz="4" w:space="0" w:color="auto"/>
            </w:tcBorders>
            <w:shd w:val="clear" w:color="auto" w:fill="auto"/>
            <w:vAlign w:val="bottom"/>
            <w:hideMark/>
          </w:tcPr>
          <w:p w14:paraId="6B57D7A0" w14:textId="77777777" w:rsidR="00153DF1" w:rsidRPr="00153DF1" w:rsidRDefault="00153DF1" w:rsidP="00153DF1">
            <w:pPr>
              <w:spacing w:after="0" w:line="240" w:lineRule="auto"/>
              <w:jc w:val="right"/>
              <w:rPr>
                <w:rFonts w:ascii="Arial" w:eastAsia="Times New Roman" w:hAnsi="Arial" w:cs="Arial"/>
                <w:color w:val="000000"/>
                <w:lang w:eastAsia="es-CO"/>
              </w:rPr>
            </w:pPr>
            <w:r w:rsidRPr="00153DF1">
              <w:rPr>
                <w:rFonts w:ascii="Arial" w:eastAsia="Times New Roman" w:hAnsi="Arial" w:cs="Arial"/>
                <w:color w:val="000000"/>
                <w:lang w:eastAsia="es-CO"/>
              </w:rPr>
              <w:t>12</w:t>
            </w:r>
          </w:p>
        </w:tc>
      </w:tr>
      <w:tr w:rsidR="00153DF1" w:rsidRPr="00153DF1" w14:paraId="416C17F3" w14:textId="77777777" w:rsidTr="00153DF1">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7DFE18C7" w14:textId="77777777" w:rsidR="00153DF1" w:rsidRPr="00153DF1" w:rsidRDefault="00153DF1" w:rsidP="00153DF1">
            <w:pPr>
              <w:spacing w:after="0" w:line="240" w:lineRule="auto"/>
              <w:rPr>
                <w:rFonts w:ascii="Arial" w:eastAsia="Times New Roman" w:hAnsi="Arial" w:cs="Arial"/>
                <w:color w:val="000000"/>
                <w:lang w:eastAsia="es-CO"/>
              </w:rPr>
            </w:pPr>
            <w:r w:rsidRPr="00153DF1">
              <w:rPr>
                <w:rFonts w:ascii="Arial" w:eastAsia="Times New Roman" w:hAnsi="Arial" w:cs="Arial"/>
                <w:color w:val="000000"/>
                <w:lang w:eastAsia="es-CO"/>
              </w:rPr>
              <w:t>Apoyo</w:t>
            </w:r>
          </w:p>
        </w:tc>
        <w:tc>
          <w:tcPr>
            <w:tcW w:w="1200" w:type="dxa"/>
            <w:tcBorders>
              <w:top w:val="nil"/>
              <w:left w:val="nil"/>
              <w:bottom w:val="single" w:sz="4" w:space="0" w:color="auto"/>
              <w:right w:val="single" w:sz="4" w:space="0" w:color="auto"/>
            </w:tcBorders>
            <w:shd w:val="clear" w:color="auto" w:fill="auto"/>
            <w:vAlign w:val="bottom"/>
            <w:hideMark/>
          </w:tcPr>
          <w:p w14:paraId="18098CD2" w14:textId="77777777" w:rsidR="00153DF1" w:rsidRPr="00153DF1" w:rsidRDefault="00153DF1" w:rsidP="00153DF1">
            <w:pPr>
              <w:spacing w:after="0" w:line="240" w:lineRule="auto"/>
              <w:jc w:val="right"/>
              <w:rPr>
                <w:rFonts w:ascii="Arial" w:eastAsia="Times New Roman" w:hAnsi="Arial" w:cs="Arial"/>
                <w:color w:val="000000"/>
                <w:lang w:eastAsia="es-CO"/>
              </w:rPr>
            </w:pPr>
            <w:r w:rsidRPr="00153DF1">
              <w:rPr>
                <w:rFonts w:ascii="Arial" w:eastAsia="Times New Roman" w:hAnsi="Arial" w:cs="Arial"/>
                <w:color w:val="000000"/>
                <w:lang w:eastAsia="es-CO"/>
              </w:rPr>
              <w:t>16</w:t>
            </w:r>
          </w:p>
        </w:tc>
      </w:tr>
      <w:tr w:rsidR="00153DF1" w:rsidRPr="00153DF1" w14:paraId="624A2E4D" w14:textId="77777777" w:rsidTr="00153DF1">
        <w:trPr>
          <w:trHeight w:val="300"/>
        </w:trPr>
        <w:tc>
          <w:tcPr>
            <w:tcW w:w="1880" w:type="dxa"/>
            <w:tcBorders>
              <w:top w:val="nil"/>
              <w:left w:val="single" w:sz="4" w:space="0" w:color="auto"/>
              <w:bottom w:val="single" w:sz="4" w:space="0" w:color="auto"/>
              <w:right w:val="single" w:sz="4" w:space="0" w:color="auto"/>
            </w:tcBorders>
            <w:shd w:val="clear" w:color="auto" w:fill="auto"/>
            <w:vAlign w:val="bottom"/>
            <w:hideMark/>
          </w:tcPr>
          <w:p w14:paraId="6ADF9FF0" w14:textId="77777777" w:rsidR="00153DF1" w:rsidRPr="00153DF1" w:rsidRDefault="00153DF1" w:rsidP="00153DF1">
            <w:pPr>
              <w:spacing w:after="0" w:line="240" w:lineRule="auto"/>
              <w:rPr>
                <w:rFonts w:ascii="Arial" w:eastAsia="Times New Roman" w:hAnsi="Arial" w:cs="Arial"/>
                <w:color w:val="000000"/>
                <w:lang w:eastAsia="es-CO"/>
              </w:rPr>
            </w:pPr>
            <w:r w:rsidRPr="00153DF1">
              <w:rPr>
                <w:rFonts w:ascii="Arial" w:eastAsia="Times New Roman" w:hAnsi="Arial" w:cs="Arial"/>
                <w:color w:val="000000"/>
                <w:lang w:eastAsia="es-CO"/>
              </w:rPr>
              <w:t>Genérica</w:t>
            </w:r>
          </w:p>
        </w:tc>
        <w:tc>
          <w:tcPr>
            <w:tcW w:w="1200" w:type="dxa"/>
            <w:tcBorders>
              <w:top w:val="nil"/>
              <w:left w:val="nil"/>
              <w:bottom w:val="single" w:sz="4" w:space="0" w:color="auto"/>
              <w:right w:val="single" w:sz="4" w:space="0" w:color="auto"/>
            </w:tcBorders>
            <w:shd w:val="clear" w:color="auto" w:fill="auto"/>
            <w:vAlign w:val="bottom"/>
            <w:hideMark/>
          </w:tcPr>
          <w:p w14:paraId="2007B226" w14:textId="77777777" w:rsidR="00153DF1" w:rsidRPr="00153DF1" w:rsidRDefault="00153DF1" w:rsidP="00153DF1">
            <w:pPr>
              <w:spacing w:after="0" w:line="240" w:lineRule="auto"/>
              <w:jc w:val="right"/>
              <w:rPr>
                <w:rFonts w:ascii="Arial" w:eastAsia="Times New Roman" w:hAnsi="Arial" w:cs="Arial"/>
                <w:color w:val="000000"/>
                <w:lang w:eastAsia="es-CO"/>
              </w:rPr>
            </w:pPr>
            <w:r w:rsidRPr="00153DF1">
              <w:rPr>
                <w:rFonts w:ascii="Arial" w:eastAsia="Times New Roman" w:hAnsi="Arial" w:cs="Arial"/>
                <w:color w:val="000000"/>
                <w:lang w:eastAsia="es-CO"/>
              </w:rPr>
              <w:t>8</w:t>
            </w:r>
          </w:p>
        </w:tc>
      </w:tr>
    </w:tbl>
    <w:p w14:paraId="37BFB3BA" w14:textId="52DF1949" w:rsidR="00D779B2" w:rsidRDefault="00D779B2" w:rsidP="00D779B2">
      <w:pPr>
        <w:rPr>
          <w:rFonts w:ascii="Arial" w:hAnsi="Arial" w:cs="Arial"/>
          <w:sz w:val="24"/>
          <w:szCs w:val="24"/>
        </w:rPr>
      </w:pPr>
    </w:p>
    <w:p w14:paraId="53D9F324" w14:textId="6E970406" w:rsidR="00153DF1" w:rsidRDefault="00A77E67" w:rsidP="00D779B2">
      <w:pPr>
        <w:rPr>
          <w:rFonts w:ascii="Arial" w:hAnsi="Arial" w:cs="Arial"/>
          <w:sz w:val="24"/>
          <w:szCs w:val="24"/>
        </w:rPr>
      </w:pPr>
      <w:r>
        <w:rPr>
          <w:noProof/>
        </w:rPr>
        <w:drawing>
          <wp:inline distT="0" distB="0" distL="0" distR="0" wp14:anchorId="0CF371DB" wp14:editId="67F64A8D">
            <wp:extent cx="3533775" cy="2343150"/>
            <wp:effectExtent l="0" t="0" r="9525" b="0"/>
            <wp:docPr id="5" name="Gráfico 5">
              <a:extLst xmlns:a="http://schemas.openxmlformats.org/drawingml/2006/main">
                <a:ext uri="{FF2B5EF4-FFF2-40B4-BE49-F238E27FC236}">
                  <a16:creationId xmlns:a16="http://schemas.microsoft.com/office/drawing/2014/main" id="{CBF05965-6B99-4AFD-86B5-698FAEE04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23D3C" w14:textId="34E3B4DE" w:rsidR="00A77E67" w:rsidRDefault="00A77E67" w:rsidP="00D779B2">
      <w:pPr>
        <w:rPr>
          <w:rFonts w:ascii="Arial" w:hAnsi="Arial" w:cs="Arial"/>
          <w:sz w:val="24"/>
          <w:szCs w:val="24"/>
        </w:rPr>
      </w:pPr>
    </w:p>
    <w:p w14:paraId="1E9E7DFE" w14:textId="17AD61E4" w:rsidR="00A77E67" w:rsidRPr="00A77E67" w:rsidRDefault="00A77E67" w:rsidP="00D779B2">
      <w:pPr>
        <w:rPr>
          <w:rFonts w:ascii="Arial" w:hAnsi="Arial" w:cs="Arial"/>
          <w:b/>
          <w:bCs/>
          <w:sz w:val="24"/>
          <w:szCs w:val="24"/>
        </w:rPr>
      </w:pPr>
      <w:r w:rsidRPr="00A77E67">
        <w:rPr>
          <w:rFonts w:ascii="Arial" w:hAnsi="Arial" w:cs="Arial"/>
          <w:b/>
          <w:bCs/>
          <w:sz w:val="24"/>
          <w:szCs w:val="24"/>
        </w:rPr>
        <w:t>Conclusiones</w:t>
      </w:r>
    </w:p>
    <w:p w14:paraId="27461518" w14:textId="43697891" w:rsidR="00931FEE" w:rsidRPr="00931FEE" w:rsidRDefault="00931FEE" w:rsidP="00931FEE">
      <w:pPr>
        <w:jc w:val="both"/>
        <w:rPr>
          <w:rFonts w:ascii="Arial" w:hAnsi="Arial" w:cs="Arial"/>
          <w:lang w:val="es-ES"/>
        </w:rPr>
      </w:pPr>
      <w:r w:rsidRPr="00931FEE">
        <w:rPr>
          <w:rFonts w:ascii="Arial" w:hAnsi="Arial" w:cs="Arial"/>
          <w:lang w:val="es-ES"/>
        </w:rPr>
        <w:t xml:space="preserve">A partir de los resultados del análisis de las estadísticas obtenidas por el análisis de noticias, podemos concluir lo siguiente. Los titulares sensacionalistas y de expectativa continúan siendo los de mayor porcentaje con un 47,2% y 50%, respectivamente, con una diferencia de un poco de menos del 3%. Mientras, en el titular técnico marcó un 2,8%, lo que representa una sola noticia de las noticias analizadas. Los titulares confusos se mantuvieron en cero, al igual que los análisis anteriores. Esto deja ver que los titulares sensacionalistas han disminuido con respecto al análisis anterior, con una baja de 52,9% a 47,2%, como se nombró anteriormente. </w:t>
      </w:r>
    </w:p>
    <w:p w14:paraId="1C1F8E33" w14:textId="40432D0A" w:rsidR="00931FEE" w:rsidRPr="00931FEE" w:rsidRDefault="00931FEE" w:rsidP="00931FEE">
      <w:pPr>
        <w:jc w:val="both"/>
        <w:rPr>
          <w:rFonts w:ascii="Arial" w:hAnsi="Arial" w:cs="Arial"/>
          <w:lang w:val="es-ES"/>
        </w:rPr>
      </w:pPr>
      <w:r w:rsidRPr="00931FEE">
        <w:rPr>
          <w:rFonts w:ascii="Arial" w:hAnsi="Arial" w:cs="Arial"/>
          <w:lang w:val="es-ES"/>
        </w:rPr>
        <w:lastRenderedPageBreak/>
        <w:t xml:space="preserve">Por otra parte, en cuanto a las fuentes usadas, Vanguardia continúa reforzando sus noticias con fuentes oficiales con un 95,7% en el análisis. Sin embargo, esto resalta el hecho de que cero noticias con fuentes expertas en el tema, mostrando que Vanguardia ha sido menos frecuente en usar expertos para educar a sus lectores en ciertos temas. Adicionalmente, las noticias que fueron respaldadas por afectados también representan un bajo porcentaje, con un 2,2%, siendo apenas una noticia. Lo mismo sucede con las noticias sin fuente, aunque esto es un aspecto positivo para el periódico, pues evidencia que las fuentes son una parte importante para la publicación de noticias. </w:t>
      </w:r>
    </w:p>
    <w:p w14:paraId="019EE89D" w14:textId="77777777" w:rsidR="00931FEE" w:rsidRPr="00931FEE" w:rsidRDefault="00931FEE" w:rsidP="00931FEE">
      <w:pPr>
        <w:spacing w:line="256" w:lineRule="auto"/>
        <w:jc w:val="both"/>
        <w:rPr>
          <w:rFonts w:ascii="Arial" w:hAnsi="Arial" w:cs="Arial"/>
          <w:lang w:val="es-ES"/>
        </w:rPr>
      </w:pPr>
      <w:r w:rsidRPr="00931FEE">
        <w:rPr>
          <w:rFonts w:ascii="Arial" w:hAnsi="Arial" w:cs="Arial"/>
          <w:lang w:val="es-ES"/>
        </w:rPr>
        <w:t xml:space="preserve">Respecto al análisis anterior se pudo encontrar un aumento en el uso de imágenes del día, lo que indica que durante los días que se realizó este análisis Vanguardia usó más imágenes de su autoría. Sin embargo, el uso de imágenes de archivo sigue predominando con un (72,2%), estas imágenes por lo general son extraídas de </w:t>
      </w:r>
      <w:proofErr w:type="spellStart"/>
      <w:r w:rsidRPr="00931FEE">
        <w:rPr>
          <w:rFonts w:ascii="Arial" w:hAnsi="Arial" w:cs="Arial"/>
          <w:lang w:val="es-ES"/>
        </w:rPr>
        <w:t>Colprensa</w:t>
      </w:r>
      <w:proofErr w:type="spellEnd"/>
      <w:r w:rsidRPr="00931FEE">
        <w:rPr>
          <w:rFonts w:ascii="Arial" w:hAnsi="Arial" w:cs="Arial"/>
          <w:lang w:val="es-ES"/>
        </w:rPr>
        <w:t xml:space="preserve">. </w:t>
      </w:r>
    </w:p>
    <w:p w14:paraId="484E7759" w14:textId="7EFAA60B" w:rsidR="00931FEE" w:rsidRPr="00931FEE" w:rsidRDefault="00931FEE" w:rsidP="00931FEE">
      <w:pPr>
        <w:spacing w:line="256" w:lineRule="auto"/>
        <w:jc w:val="both"/>
        <w:rPr>
          <w:rFonts w:ascii="Arial" w:hAnsi="Arial" w:cs="Arial"/>
          <w:lang w:val="es-ES"/>
        </w:rPr>
      </w:pPr>
      <w:r w:rsidRPr="00931FEE">
        <w:rPr>
          <w:rFonts w:ascii="Arial" w:hAnsi="Arial" w:cs="Arial"/>
          <w:lang w:val="es-ES"/>
        </w:rPr>
        <w:t>Al igual que hubo cambios en el aumento de uso de imágenes propias de Vanguardia, también se vieron algunos cambios en el uso de tipos de imagen, antes solía verse una diferencia considerable entre las imágenes de archivo (el cual es el tipo de imagen más usado por Vanguardia) y tipos de im</w:t>
      </w:r>
      <w:r>
        <w:rPr>
          <w:rFonts w:ascii="Arial" w:hAnsi="Arial" w:cs="Arial"/>
          <w:lang w:val="es-ES"/>
        </w:rPr>
        <w:t>a</w:t>
      </w:r>
      <w:r w:rsidRPr="00931FEE">
        <w:rPr>
          <w:rFonts w:ascii="Arial" w:hAnsi="Arial" w:cs="Arial"/>
          <w:lang w:val="es-ES"/>
        </w:rPr>
        <w:t>gen ilustrativa y genérica, en este análisis la diferencia no fue tan grande, aun así el tipo de imagen de archivo continúa dominando con un 44,4%, a este le siguen las ilustrativas con un 33,3% y por último las  genéricas con un 22,2%. Debido a que Vanguardia hace uso constante de imágenes de archivo por lo general las imágenes no ilustran al píe de la letra lo que quiere decir el titular.</w:t>
      </w:r>
    </w:p>
    <w:p w14:paraId="05456089" w14:textId="17CF261D" w:rsidR="00931FEE" w:rsidRPr="00931FEE" w:rsidRDefault="00931FEE" w:rsidP="00931FEE">
      <w:pPr>
        <w:jc w:val="both"/>
        <w:rPr>
          <w:rFonts w:ascii="Arial" w:hAnsi="Arial" w:cs="Arial"/>
          <w:lang w:val="es-ES"/>
        </w:rPr>
      </w:pPr>
      <w:r w:rsidRPr="00931FEE">
        <w:rPr>
          <w:rFonts w:ascii="Arial" w:hAnsi="Arial" w:cs="Arial"/>
          <w:lang w:val="es-ES"/>
        </w:rPr>
        <w:t xml:space="preserve">Al igual que en los análisis anteriores en este se denota que el sesgo que predomina es el neutro (88,9%) se puede deducir que esto se da debido a que al estar informando sobre un acontecimiento no es común que el periodista interfiera con su opinión, aun </w:t>
      </w:r>
      <w:r w:rsidR="009A6225" w:rsidRPr="00931FEE">
        <w:rPr>
          <w:rFonts w:ascii="Arial" w:hAnsi="Arial" w:cs="Arial"/>
          <w:lang w:val="es-ES"/>
        </w:rPr>
        <w:t>así,</w:t>
      </w:r>
      <w:r w:rsidRPr="00931FEE">
        <w:rPr>
          <w:rFonts w:ascii="Arial" w:hAnsi="Arial" w:cs="Arial"/>
          <w:lang w:val="es-ES"/>
        </w:rPr>
        <w:t xml:space="preserve"> en algunos momentos se da el caso en el que el periodista deja saber su punto de vista sobre la situación, en este caso esto se vio con un 5,6% de sesgo positivo y un 5,6% de negativo.</w:t>
      </w:r>
    </w:p>
    <w:p w14:paraId="26553E28" w14:textId="77777777" w:rsidR="00D779B2" w:rsidRPr="00931FEE" w:rsidRDefault="00D779B2" w:rsidP="00D779B2">
      <w:pPr>
        <w:rPr>
          <w:rFonts w:ascii="Arial" w:hAnsi="Arial" w:cs="Arial"/>
          <w:sz w:val="24"/>
          <w:szCs w:val="24"/>
          <w:lang w:val="es-ES"/>
        </w:rPr>
      </w:pPr>
    </w:p>
    <w:p w14:paraId="224CEBDB" w14:textId="77777777" w:rsidR="00D779B2" w:rsidRPr="00D779B2" w:rsidRDefault="00D779B2">
      <w:pPr>
        <w:rPr>
          <w:rFonts w:ascii="Arial" w:hAnsi="Arial" w:cs="Arial"/>
          <w:b/>
          <w:bCs/>
          <w:sz w:val="24"/>
          <w:szCs w:val="24"/>
        </w:rPr>
      </w:pPr>
    </w:p>
    <w:p w14:paraId="43A0BD7B" w14:textId="77777777" w:rsidR="00D779B2" w:rsidRDefault="00D779B2"/>
    <w:sectPr w:rsidR="00D779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B6"/>
    <w:rsid w:val="00153DF1"/>
    <w:rsid w:val="00375FB6"/>
    <w:rsid w:val="0053124E"/>
    <w:rsid w:val="007828C3"/>
    <w:rsid w:val="00931FEE"/>
    <w:rsid w:val="009A6225"/>
    <w:rsid w:val="00A77E67"/>
    <w:rsid w:val="00D779B2"/>
    <w:rsid w:val="00FB3F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CD15"/>
  <w15:chartTrackingRefBased/>
  <w15:docId w15:val="{FEC7EDB4-404F-4A69-869E-2E66190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01578">
      <w:bodyDiv w:val="1"/>
      <w:marLeft w:val="0"/>
      <w:marRight w:val="0"/>
      <w:marTop w:val="0"/>
      <w:marBottom w:val="0"/>
      <w:divBdr>
        <w:top w:val="none" w:sz="0" w:space="0" w:color="auto"/>
        <w:left w:val="none" w:sz="0" w:space="0" w:color="auto"/>
        <w:bottom w:val="none" w:sz="0" w:space="0" w:color="auto"/>
        <w:right w:val="none" w:sz="0" w:space="0" w:color="auto"/>
      </w:divBdr>
    </w:div>
    <w:div w:id="1130902570">
      <w:bodyDiv w:val="1"/>
      <w:marLeft w:val="0"/>
      <w:marRight w:val="0"/>
      <w:marTop w:val="0"/>
      <w:marBottom w:val="0"/>
      <w:divBdr>
        <w:top w:val="none" w:sz="0" w:space="0" w:color="auto"/>
        <w:left w:val="none" w:sz="0" w:space="0" w:color="auto"/>
        <w:bottom w:val="none" w:sz="0" w:space="0" w:color="auto"/>
        <w:right w:val="none" w:sz="0" w:space="0" w:color="auto"/>
      </w:divBdr>
    </w:div>
    <w:div w:id="1192916299">
      <w:bodyDiv w:val="1"/>
      <w:marLeft w:val="0"/>
      <w:marRight w:val="0"/>
      <w:marTop w:val="0"/>
      <w:marBottom w:val="0"/>
      <w:divBdr>
        <w:top w:val="none" w:sz="0" w:space="0" w:color="auto"/>
        <w:left w:val="none" w:sz="0" w:space="0" w:color="auto"/>
        <w:bottom w:val="none" w:sz="0" w:space="0" w:color="auto"/>
        <w:right w:val="none" w:sz="0" w:space="0" w:color="auto"/>
      </w:divBdr>
    </w:div>
    <w:div w:id="1237979706">
      <w:bodyDiv w:val="1"/>
      <w:marLeft w:val="0"/>
      <w:marRight w:val="0"/>
      <w:marTop w:val="0"/>
      <w:marBottom w:val="0"/>
      <w:divBdr>
        <w:top w:val="none" w:sz="0" w:space="0" w:color="auto"/>
        <w:left w:val="none" w:sz="0" w:space="0" w:color="auto"/>
        <w:bottom w:val="none" w:sz="0" w:space="0" w:color="auto"/>
        <w:right w:val="none" w:sz="0" w:space="0" w:color="auto"/>
      </w:divBdr>
    </w:div>
    <w:div w:id="1800369353">
      <w:bodyDiv w:val="1"/>
      <w:marLeft w:val="0"/>
      <w:marRight w:val="0"/>
      <w:marTop w:val="0"/>
      <w:marBottom w:val="0"/>
      <w:divBdr>
        <w:top w:val="none" w:sz="0" w:space="0" w:color="auto"/>
        <w:left w:val="none" w:sz="0" w:space="0" w:color="auto"/>
        <w:bottom w:val="none" w:sz="0" w:space="0" w:color="auto"/>
        <w:right w:val="none" w:sz="0" w:space="0" w:color="auto"/>
      </w:divBdr>
    </w:div>
    <w:div w:id="20128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Tipo</a:t>
            </a:r>
            <a:r>
              <a:rPr lang="es-CO" baseline="0"/>
              <a:t> de titular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Cantidad</c:v>
                </c:pt>
              </c:strCache>
            </c:strRef>
          </c:tx>
          <c:spPr>
            <a:ln>
              <a:solidFill>
                <a:schemeClr val="tx1"/>
              </a:solidFill>
            </a:ln>
          </c:spPr>
          <c:dPt>
            <c:idx val="0"/>
            <c:bubble3D val="0"/>
            <c:spPr>
              <a:solidFill>
                <a:srgbClr val="FFFF00"/>
              </a:solidFill>
              <a:ln w="19050">
                <a:solidFill>
                  <a:schemeClr val="tx1"/>
                </a:solidFill>
              </a:ln>
              <a:effectLst/>
            </c:spPr>
            <c:extLst>
              <c:ext xmlns:c16="http://schemas.microsoft.com/office/drawing/2014/chart" uri="{C3380CC4-5D6E-409C-BE32-E72D297353CC}">
                <c16:uniqueId val="{00000001-6F19-43C9-AA49-24248AFCA5E3}"/>
              </c:ext>
            </c:extLst>
          </c:dPt>
          <c:dPt>
            <c:idx val="1"/>
            <c:bubble3D val="0"/>
            <c:spPr>
              <a:solidFill>
                <a:srgbClr val="FF0000"/>
              </a:solidFill>
              <a:ln w="19050">
                <a:solidFill>
                  <a:schemeClr val="tx1"/>
                </a:solidFill>
              </a:ln>
              <a:effectLst/>
            </c:spPr>
            <c:extLst>
              <c:ext xmlns:c16="http://schemas.microsoft.com/office/drawing/2014/chart" uri="{C3380CC4-5D6E-409C-BE32-E72D297353CC}">
                <c16:uniqueId val="{00000003-6F19-43C9-AA49-24248AFCA5E3}"/>
              </c:ext>
            </c:extLst>
          </c:dPt>
          <c:dPt>
            <c:idx val="2"/>
            <c:bubble3D val="0"/>
            <c:spPr>
              <a:solidFill>
                <a:srgbClr val="92D050"/>
              </a:solidFill>
              <a:ln w="19050">
                <a:solidFill>
                  <a:schemeClr val="tx1"/>
                </a:solidFill>
              </a:ln>
              <a:effectLst/>
            </c:spPr>
            <c:extLst>
              <c:ext xmlns:c16="http://schemas.microsoft.com/office/drawing/2014/chart" uri="{C3380CC4-5D6E-409C-BE32-E72D297353CC}">
                <c16:uniqueId val="{00000005-6F19-43C9-AA49-24248AFCA5E3}"/>
              </c:ext>
            </c:extLst>
          </c:dPt>
          <c:dPt>
            <c:idx val="3"/>
            <c:bubble3D val="0"/>
            <c:spPr>
              <a:solidFill>
                <a:schemeClr val="accent4"/>
              </a:solidFill>
              <a:ln w="19050">
                <a:solidFill>
                  <a:schemeClr val="tx1"/>
                </a:solidFill>
              </a:ln>
              <a:effectLst/>
            </c:spPr>
            <c:extLst>
              <c:ext xmlns:c16="http://schemas.microsoft.com/office/drawing/2014/chart" uri="{C3380CC4-5D6E-409C-BE32-E72D297353CC}">
                <c16:uniqueId val="{00000007-6F19-43C9-AA49-24248AFCA5E3}"/>
              </c:ext>
            </c:extLst>
          </c:dPt>
          <c:dLbls>
            <c:dLbl>
              <c:idx val="1"/>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19-43C9-AA49-24248AFCA5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Sensacionalista</c:v>
                </c:pt>
                <c:pt idx="1">
                  <c:v>Expectativa</c:v>
                </c:pt>
                <c:pt idx="2">
                  <c:v>Técnico</c:v>
                </c:pt>
                <c:pt idx="3">
                  <c:v>Confuso</c:v>
                </c:pt>
              </c:strCache>
            </c:strRef>
          </c:cat>
          <c:val>
            <c:numRef>
              <c:f>Hoja1!$B$2:$B$5</c:f>
              <c:numCache>
                <c:formatCode>General</c:formatCode>
                <c:ptCount val="4"/>
                <c:pt idx="0">
                  <c:v>17</c:v>
                </c:pt>
                <c:pt idx="1">
                  <c:v>18</c:v>
                </c:pt>
                <c:pt idx="2">
                  <c:v>1</c:v>
                </c:pt>
                <c:pt idx="3">
                  <c:v>0</c:v>
                </c:pt>
              </c:numCache>
            </c:numRef>
          </c:val>
          <c:extLst>
            <c:ext xmlns:c16="http://schemas.microsoft.com/office/drawing/2014/chart" uri="{C3380CC4-5D6E-409C-BE32-E72D297353CC}">
              <c16:uniqueId val="{00000008-6F19-43C9-AA49-24248AFCA5E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Hoja1!$J$1</c:f>
              <c:strCache>
                <c:ptCount val="1"/>
                <c:pt idx="0">
                  <c:v>Cantidad</c:v>
                </c:pt>
              </c:strCache>
            </c:strRef>
          </c:tx>
          <c:spPr>
            <a:ln>
              <a:solidFill>
                <a:schemeClr val="tx1"/>
              </a:solidFill>
            </a:ln>
          </c:spPr>
          <c:dPt>
            <c:idx val="0"/>
            <c:bubble3D val="0"/>
            <c:spPr>
              <a:solidFill>
                <a:srgbClr val="FFFF00"/>
              </a:solidFill>
              <a:ln w="19050">
                <a:solidFill>
                  <a:schemeClr val="tx1"/>
                </a:solidFill>
              </a:ln>
              <a:effectLst/>
            </c:spPr>
            <c:extLst>
              <c:ext xmlns:c16="http://schemas.microsoft.com/office/drawing/2014/chart" uri="{C3380CC4-5D6E-409C-BE32-E72D297353CC}">
                <c16:uniqueId val="{00000001-BB12-4390-A42D-F71F6BE80063}"/>
              </c:ext>
            </c:extLst>
          </c:dPt>
          <c:dPt>
            <c:idx val="1"/>
            <c:bubble3D val="0"/>
            <c:spPr>
              <a:solidFill>
                <a:srgbClr val="92D050"/>
              </a:solidFill>
              <a:ln w="19050">
                <a:solidFill>
                  <a:schemeClr val="tx1"/>
                </a:solidFill>
              </a:ln>
              <a:effectLst/>
            </c:spPr>
            <c:extLst>
              <c:ext xmlns:c16="http://schemas.microsoft.com/office/drawing/2014/chart" uri="{C3380CC4-5D6E-409C-BE32-E72D297353CC}">
                <c16:uniqueId val="{00000003-BB12-4390-A42D-F71F6BE80063}"/>
              </c:ext>
            </c:extLst>
          </c:dPt>
          <c:dPt>
            <c:idx val="2"/>
            <c:bubble3D val="0"/>
            <c:spPr>
              <a:solidFill>
                <a:srgbClr val="FF0000"/>
              </a:solidFill>
              <a:ln w="19050">
                <a:solidFill>
                  <a:schemeClr val="tx1"/>
                </a:solidFill>
              </a:ln>
              <a:effectLst/>
            </c:spPr>
            <c:extLst>
              <c:ext xmlns:c16="http://schemas.microsoft.com/office/drawing/2014/chart" uri="{C3380CC4-5D6E-409C-BE32-E72D297353CC}">
                <c16:uniqueId val="{00000005-BB12-4390-A42D-F71F6BE800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Hoja1!$I$2:$I$4</c:f>
              <c:strCache>
                <c:ptCount val="3"/>
                <c:pt idx="0">
                  <c:v>Positivo</c:v>
                </c:pt>
                <c:pt idx="1">
                  <c:v>Negativo</c:v>
                </c:pt>
                <c:pt idx="2">
                  <c:v>Neutro</c:v>
                </c:pt>
              </c:strCache>
            </c:strRef>
          </c:cat>
          <c:val>
            <c:numRef>
              <c:f>Hoja1!$J$2:$J$4</c:f>
              <c:numCache>
                <c:formatCode>General</c:formatCode>
                <c:ptCount val="3"/>
                <c:pt idx="0">
                  <c:v>2</c:v>
                </c:pt>
                <c:pt idx="1">
                  <c:v>2</c:v>
                </c:pt>
                <c:pt idx="2">
                  <c:v>32</c:v>
                </c:pt>
              </c:numCache>
            </c:numRef>
          </c:val>
          <c:extLst>
            <c:ext xmlns:c16="http://schemas.microsoft.com/office/drawing/2014/chart" uri="{C3380CC4-5D6E-409C-BE32-E72D297353CC}">
              <c16:uniqueId val="{00000006-BB12-4390-A42D-F71F6BE8006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a:t>
            </a:r>
            <a:r>
              <a:rPr lang="en-US" baseline="0"/>
              <a:t> de fuente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Hoja1!$B$20</c:f>
              <c:strCache>
                <c:ptCount val="1"/>
                <c:pt idx="0">
                  <c:v>Cantidad</c:v>
                </c:pt>
              </c:strCache>
            </c:strRef>
          </c:tx>
          <c:spPr>
            <a:ln>
              <a:solidFill>
                <a:schemeClr val="tx1"/>
              </a:solidFill>
            </a:ln>
          </c:spPr>
          <c:dPt>
            <c:idx val="0"/>
            <c:bubble3D val="0"/>
            <c:spPr>
              <a:solidFill>
                <a:srgbClr val="FF0000"/>
              </a:solidFill>
              <a:ln w="19050">
                <a:solidFill>
                  <a:schemeClr val="tx1"/>
                </a:solidFill>
              </a:ln>
              <a:effectLst/>
            </c:spPr>
            <c:extLst>
              <c:ext xmlns:c16="http://schemas.microsoft.com/office/drawing/2014/chart" uri="{C3380CC4-5D6E-409C-BE32-E72D297353CC}">
                <c16:uniqueId val="{00000001-417A-4B5D-8EB0-26A9339C4DFD}"/>
              </c:ext>
            </c:extLst>
          </c:dPt>
          <c:dPt>
            <c:idx val="1"/>
            <c:bubble3D val="0"/>
            <c:spPr>
              <a:solidFill>
                <a:schemeClr val="accent2"/>
              </a:solidFill>
              <a:ln w="19050">
                <a:solidFill>
                  <a:schemeClr val="tx1"/>
                </a:solidFill>
              </a:ln>
              <a:effectLst/>
            </c:spPr>
            <c:extLst>
              <c:ext xmlns:c16="http://schemas.microsoft.com/office/drawing/2014/chart" uri="{C3380CC4-5D6E-409C-BE32-E72D297353CC}">
                <c16:uniqueId val="{00000003-417A-4B5D-8EB0-26A9339C4DFD}"/>
              </c:ext>
            </c:extLst>
          </c:dPt>
          <c:dPt>
            <c:idx val="2"/>
            <c:bubble3D val="0"/>
            <c:spPr>
              <a:solidFill>
                <a:srgbClr val="92D050"/>
              </a:solidFill>
              <a:ln w="19050">
                <a:solidFill>
                  <a:schemeClr val="tx1"/>
                </a:solidFill>
              </a:ln>
              <a:effectLst/>
            </c:spPr>
            <c:extLst>
              <c:ext xmlns:c16="http://schemas.microsoft.com/office/drawing/2014/chart" uri="{C3380CC4-5D6E-409C-BE32-E72D297353CC}">
                <c16:uniqueId val="{00000005-417A-4B5D-8EB0-26A9339C4DFD}"/>
              </c:ext>
            </c:extLst>
          </c:dPt>
          <c:dPt>
            <c:idx val="3"/>
            <c:bubble3D val="0"/>
            <c:spPr>
              <a:solidFill>
                <a:srgbClr val="FFFF00"/>
              </a:solidFill>
              <a:ln w="19050">
                <a:solidFill>
                  <a:schemeClr val="tx1"/>
                </a:solidFill>
              </a:ln>
              <a:effectLst/>
            </c:spPr>
            <c:extLst>
              <c:ext xmlns:c16="http://schemas.microsoft.com/office/drawing/2014/chart" uri="{C3380CC4-5D6E-409C-BE32-E72D297353CC}">
                <c16:uniqueId val="{00000007-417A-4B5D-8EB0-26A9339C4DFD}"/>
              </c:ext>
            </c:extLst>
          </c:dPt>
          <c:dLbls>
            <c:dLbl>
              <c:idx val="1"/>
              <c:layout>
                <c:manualLayout>
                  <c:x val="-3.9733235644928352E-2"/>
                  <c:y val="4.3250955312334758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7A-4B5D-8EB0-26A9339C4DFD}"/>
                </c:ext>
              </c:extLst>
            </c:dLbl>
            <c:dLbl>
              <c:idx val="3"/>
              <c:layout>
                <c:manualLayout>
                  <c:x val="5.0780098611056819E-2"/>
                  <c:y val="6.8320818053929228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17A-4B5D-8EB0-26A9339C4D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Hoja1!$A$21:$A$24</c:f>
              <c:strCache>
                <c:ptCount val="4"/>
                <c:pt idx="0">
                  <c:v>Oficial</c:v>
                </c:pt>
                <c:pt idx="1">
                  <c:v>Experto</c:v>
                </c:pt>
                <c:pt idx="2">
                  <c:v>Afectado</c:v>
                </c:pt>
                <c:pt idx="3">
                  <c:v>Sin fuente</c:v>
                </c:pt>
              </c:strCache>
            </c:strRef>
          </c:cat>
          <c:val>
            <c:numRef>
              <c:f>Hoja1!$B$21:$B$24</c:f>
              <c:numCache>
                <c:formatCode>General</c:formatCode>
                <c:ptCount val="4"/>
                <c:pt idx="0">
                  <c:v>44</c:v>
                </c:pt>
                <c:pt idx="1">
                  <c:v>0</c:v>
                </c:pt>
                <c:pt idx="2">
                  <c:v>1</c:v>
                </c:pt>
                <c:pt idx="3">
                  <c:v>1</c:v>
                </c:pt>
              </c:numCache>
            </c:numRef>
          </c:val>
          <c:extLst>
            <c:ext xmlns:c16="http://schemas.microsoft.com/office/drawing/2014/chart" uri="{C3380CC4-5D6E-409C-BE32-E72D297353CC}">
              <c16:uniqueId val="{00000008-417A-4B5D-8EB0-26A9339C4DF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a:t>
            </a:r>
            <a:r>
              <a:rPr lang="en-US" baseline="0"/>
              <a:t> de fotografía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Hoja1!$J$18</c:f>
              <c:strCache>
                <c:ptCount val="1"/>
                <c:pt idx="0">
                  <c:v>Cantidad</c:v>
                </c:pt>
              </c:strCache>
            </c:strRef>
          </c:tx>
          <c:spPr>
            <a:solidFill>
              <a:srgbClr val="FFFF00"/>
            </a:solidFill>
            <a:ln>
              <a:solidFill>
                <a:schemeClr val="tx1"/>
              </a:solidFill>
            </a:ln>
          </c:spPr>
          <c:dPt>
            <c:idx val="0"/>
            <c:bubble3D val="0"/>
            <c:spPr>
              <a:solidFill>
                <a:srgbClr val="FF0000"/>
              </a:solidFill>
              <a:ln w="19050">
                <a:solidFill>
                  <a:schemeClr val="tx1"/>
                </a:solidFill>
              </a:ln>
              <a:effectLst/>
            </c:spPr>
            <c:extLst>
              <c:ext xmlns:c16="http://schemas.microsoft.com/office/drawing/2014/chart" uri="{C3380CC4-5D6E-409C-BE32-E72D297353CC}">
                <c16:uniqueId val="{00000001-90A4-444D-A2EF-D9875744863D}"/>
              </c:ext>
            </c:extLst>
          </c:dPt>
          <c:dPt>
            <c:idx val="1"/>
            <c:bubble3D val="0"/>
            <c:spPr>
              <a:solidFill>
                <a:srgbClr val="FFFF00"/>
              </a:solidFill>
              <a:ln w="19050">
                <a:solidFill>
                  <a:schemeClr val="tx1"/>
                </a:solidFill>
              </a:ln>
              <a:effectLst/>
            </c:spPr>
            <c:extLst>
              <c:ext xmlns:c16="http://schemas.microsoft.com/office/drawing/2014/chart" uri="{C3380CC4-5D6E-409C-BE32-E72D297353CC}">
                <c16:uniqueId val="{00000003-90A4-444D-A2EF-D987574486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Hoja1!$I$19:$I$20</c:f>
              <c:strCache>
                <c:ptCount val="2"/>
                <c:pt idx="0">
                  <c:v>Archivo</c:v>
                </c:pt>
                <c:pt idx="1">
                  <c:v>Día</c:v>
                </c:pt>
              </c:strCache>
            </c:strRef>
          </c:cat>
          <c:val>
            <c:numRef>
              <c:f>Hoja1!$J$19:$J$20</c:f>
              <c:numCache>
                <c:formatCode>General</c:formatCode>
                <c:ptCount val="2"/>
                <c:pt idx="0">
                  <c:v>26</c:v>
                </c:pt>
                <c:pt idx="1">
                  <c:v>10</c:v>
                </c:pt>
              </c:numCache>
            </c:numRef>
          </c:val>
          <c:extLst>
            <c:ext xmlns:c16="http://schemas.microsoft.com/office/drawing/2014/chart" uri="{C3380CC4-5D6E-409C-BE32-E72D297353CC}">
              <c16:uniqueId val="{00000004-90A4-444D-A2EF-D9875744863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a:t>
            </a:r>
            <a:r>
              <a:rPr lang="en-US" baseline="0"/>
              <a:t> de imagen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Hoja1!$B$33</c:f>
              <c:strCache>
                <c:ptCount val="1"/>
                <c:pt idx="0">
                  <c:v>Cantidad</c:v>
                </c:pt>
              </c:strCache>
            </c:strRef>
          </c:tx>
          <c:spPr>
            <a:ln>
              <a:solidFill>
                <a:schemeClr val="tx1"/>
              </a:solidFill>
            </a:ln>
          </c:spPr>
          <c:dPt>
            <c:idx val="0"/>
            <c:bubble3D val="0"/>
            <c:spPr>
              <a:solidFill>
                <a:srgbClr val="FFFF00"/>
              </a:solidFill>
              <a:ln w="19050">
                <a:solidFill>
                  <a:schemeClr val="tx1"/>
                </a:solidFill>
              </a:ln>
              <a:effectLst/>
            </c:spPr>
            <c:extLst>
              <c:ext xmlns:c16="http://schemas.microsoft.com/office/drawing/2014/chart" uri="{C3380CC4-5D6E-409C-BE32-E72D297353CC}">
                <c16:uniqueId val="{00000001-3465-492E-A792-6F5AB2E51194}"/>
              </c:ext>
            </c:extLst>
          </c:dPt>
          <c:dPt>
            <c:idx val="1"/>
            <c:bubble3D val="0"/>
            <c:spPr>
              <a:solidFill>
                <a:srgbClr val="FF0000"/>
              </a:solidFill>
              <a:ln w="19050">
                <a:solidFill>
                  <a:schemeClr val="tx1"/>
                </a:solidFill>
              </a:ln>
              <a:effectLst/>
            </c:spPr>
            <c:extLst>
              <c:ext xmlns:c16="http://schemas.microsoft.com/office/drawing/2014/chart" uri="{C3380CC4-5D6E-409C-BE32-E72D297353CC}">
                <c16:uniqueId val="{00000003-3465-492E-A792-6F5AB2E51194}"/>
              </c:ext>
            </c:extLst>
          </c:dPt>
          <c:dPt>
            <c:idx val="2"/>
            <c:bubble3D val="0"/>
            <c:spPr>
              <a:solidFill>
                <a:srgbClr val="92D050"/>
              </a:solidFill>
              <a:ln w="19050">
                <a:solidFill>
                  <a:schemeClr val="tx1"/>
                </a:solidFill>
              </a:ln>
              <a:effectLst/>
            </c:spPr>
            <c:extLst>
              <c:ext xmlns:c16="http://schemas.microsoft.com/office/drawing/2014/chart" uri="{C3380CC4-5D6E-409C-BE32-E72D297353CC}">
                <c16:uniqueId val="{00000005-3465-492E-A792-6F5AB2E511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Hoja1!$A$34:$A$36</c:f>
              <c:strCache>
                <c:ptCount val="3"/>
                <c:pt idx="0">
                  <c:v>Ilustrativa</c:v>
                </c:pt>
                <c:pt idx="1">
                  <c:v>Apoyo</c:v>
                </c:pt>
                <c:pt idx="2">
                  <c:v>Genérica</c:v>
                </c:pt>
              </c:strCache>
            </c:strRef>
          </c:cat>
          <c:val>
            <c:numRef>
              <c:f>Hoja1!$B$34:$B$36</c:f>
              <c:numCache>
                <c:formatCode>General</c:formatCode>
                <c:ptCount val="3"/>
                <c:pt idx="0">
                  <c:v>12</c:v>
                </c:pt>
                <c:pt idx="1">
                  <c:v>16</c:v>
                </c:pt>
                <c:pt idx="2">
                  <c:v>8</c:v>
                </c:pt>
              </c:numCache>
            </c:numRef>
          </c:val>
          <c:extLst>
            <c:ext xmlns:c16="http://schemas.microsoft.com/office/drawing/2014/chart" uri="{C3380CC4-5D6E-409C-BE32-E72D297353CC}">
              <c16:uniqueId val="{00000006-3465-492E-A792-6F5AB2E511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DELGADO AMAYA</dc:creator>
  <cp:keywords/>
  <dc:description/>
  <cp:lastModifiedBy>Marciano  Venté</cp:lastModifiedBy>
  <cp:revision>2</cp:revision>
  <dcterms:created xsi:type="dcterms:W3CDTF">2021-10-14T17:33:00Z</dcterms:created>
  <dcterms:modified xsi:type="dcterms:W3CDTF">2021-10-14T17:33:00Z</dcterms:modified>
</cp:coreProperties>
</file>