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7275" w14:textId="77777777" w:rsidR="00A04D93" w:rsidRPr="0047731F" w:rsidRDefault="00A04D93" w:rsidP="00A04D93">
      <w:pPr>
        <w:rPr>
          <w:rFonts w:ascii="Arial" w:hAnsi="Arial" w:cs="Arial"/>
          <w:b/>
          <w:lang w:val="es-ES"/>
        </w:rPr>
      </w:pPr>
      <w:r w:rsidRPr="0047731F">
        <w:rPr>
          <w:rFonts w:ascii="Arial" w:hAnsi="Arial" w:cs="Arial"/>
          <w:b/>
          <w:lang w:val="es-ES"/>
        </w:rPr>
        <w:t xml:space="preserve">Reporte de Monitoreo Vanguardia Sección Bucaramanga (1 a 14 de </w:t>
      </w:r>
      <w:r w:rsidR="007E2691">
        <w:rPr>
          <w:rFonts w:ascii="Arial" w:hAnsi="Arial" w:cs="Arial"/>
          <w:b/>
          <w:lang w:val="es-ES"/>
        </w:rPr>
        <w:t>marzo</w:t>
      </w:r>
      <w:r w:rsidRPr="0047731F">
        <w:rPr>
          <w:rFonts w:ascii="Arial" w:hAnsi="Arial" w:cs="Arial"/>
          <w:b/>
          <w:lang w:val="es-ES"/>
        </w:rPr>
        <w:t>)</w:t>
      </w:r>
    </w:p>
    <w:p w14:paraId="0511D33E" w14:textId="77777777" w:rsidR="00A04D93" w:rsidRPr="0047731F" w:rsidRDefault="00A04D93" w:rsidP="00A04D93">
      <w:pPr>
        <w:jc w:val="both"/>
        <w:rPr>
          <w:rFonts w:ascii="Arial" w:hAnsi="Arial" w:cs="Arial"/>
          <w:lang w:val="es-ES"/>
        </w:rPr>
      </w:pPr>
      <w:r w:rsidRPr="0047731F">
        <w:rPr>
          <w:rFonts w:ascii="Arial" w:hAnsi="Arial" w:cs="Arial"/>
          <w:lang w:val="es-ES"/>
        </w:rPr>
        <w:t>María José Parra</w:t>
      </w:r>
    </w:p>
    <w:p w14:paraId="17E191BF" w14:textId="77777777" w:rsidR="00A04D93" w:rsidRPr="0047731F" w:rsidRDefault="00A04D93" w:rsidP="00A04D93">
      <w:pPr>
        <w:jc w:val="both"/>
        <w:rPr>
          <w:rFonts w:ascii="Arial" w:hAnsi="Arial" w:cs="Arial"/>
          <w:lang w:val="es-ES"/>
        </w:rPr>
      </w:pPr>
      <w:r w:rsidRPr="0047731F">
        <w:rPr>
          <w:rFonts w:ascii="Arial" w:hAnsi="Arial" w:cs="Arial"/>
          <w:lang w:val="es-ES"/>
        </w:rPr>
        <w:t xml:space="preserve">Lizeth Delgado </w:t>
      </w:r>
    </w:p>
    <w:p w14:paraId="43A103E9" w14:textId="77777777" w:rsidR="00A04D93" w:rsidRPr="0047731F" w:rsidRDefault="00A04D93" w:rsidP="00A04D93">
      <w:pPr>
        <w:jc w:val="both"/>
        <w:rPr>
          <w:rFonts w:ascii="Arial" w:hAnsi="Arial" w:cs="Arial"/>
          <w:lang w:val="es-ES"/>
        </w:rPr>
      </w:pPr>
      <w:r w:rsidRPr="0047731F">
        <w:rPr>
          <w:rFonts w:ascii="Arial" w:hAnsi="Arial" w:cs="Arial"/>
          <w:lang w:val="es-ES"/>
        </w:rPr>
        <w:t>Andrea Gómez</w:t>
      </w:r>
    </w:p>
    <w:p w14:paraId="131FCBFA" w14:textId="77777777" w:rsidR="00A04D93" w:rsidRDefault="00A04D93" w:rsidP="00A04D93">
      <w:pPr>
        <w:jc w:val="both"/>
        <w:rPr>
          <w:rFonts w:ascii="Arial" w:hAnsi="Arial" w:cs="Arial"/>
          <w:lang w:val="es-ES"/>
        </w:rPr>
      </w:pPr>
      <w:r w:rsidRPr="0047731F">
        <w:rPr>
          <w:rFonts w:ascii="Arial" w:hAnsi="Arial" w:cs="Arial"/>
          <w:lang w:val="es-ES"/>
        </w:rPr>
        <w:t>Laura Flórez</w:t>
      </w:r>
    </w:p>
    <w:p w14:paraId="45E0F07D" w14:textId="77777777" w:rsidR="00A04D93" w:rsidRDefault="00A04D93" w:rsidP="00A04D93">
      <w:pPr>
        <w:jc w:val="both"/>
        <w:rPr>
          <w:rFonts w:ascii="Arial" w:hAnsi="Arial" w:cs="Arial"/>
          <w:lang w:val="es-ES"/>
        </w:rPr>
      </w:pPr>
    </w:p>
    <w:p w14:paraId="6176CDDD" w14:textId="77777777" w:rsidR="00A04D93" w:rsidRDefault="00A04D93" w:rsidP="00A04D9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Durante las dos semanas de monitoreo realizadas a la sección Bucaramanga del periódico Vanguardia, se recopilaron datos que nos permitieron reconocer ciertos patrones que presenta el medio de comunicación santandereano. </w:t>
      </w:r>
    </w:p>
    <w:p w14:paraId="25C48B0D" w14:textId="77777777" w:rsidR="00A04D93" w:rsidRDefault="00A04D93" w:rsidP="00A04D93">
      <w:pPr>
        <w:jc w:val="both"/>
        <w:rPr>
          <w:rFonts w:ascii="Arial" w:hAnsi="Arial" w:cs="Arial"/>
          <w:lang w:val="es-ES"/>
        </w:rPr>
      </w:pPr>
    </w:p>
    <w:p w14:paraId="00173D8E" w14:textId="77777777" w:rsidR="00A04D93" w:rsidRDefault="00A04D93" w:rsidP="00A04D9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 un total de 144 noticias, se ha podido evidenciar que las temáticas más reportadas en el diario son: Salud y Orden Público con un (16%) y Social con un (12%). </w:t>
      </w:r>
    </w:p>
    <w:p w14:paraId="16A11D2C" w14:textId="77777777" w:rsidR="00A04D93" w:rsidRDefault="00A04D93" w:rsidP="00A04D93">
      <w:pPr>
        <w:jc w:val="both"/>
        <w:rPr>
          <w:rFonts w:ascii="Arial" w:hAnsi="Arial" w:cs="Arial"/>
          <w:lang w:val="es-ES"/>
        </w:rPr>
      </w:pPr>
    </w:p>
    <w:p w14:paraId="3DE8D762" w14:textId="77777777" w:rsidR="007F2F9D" w:rsidRDefault="007F2F9D" w:rsidP="00A04D93">
      <w:pPr>
        <w:jc w:val="both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54334F73" wp14:editId="4F7BD20F">
            <wp:extent cx="5612130" cy="3528695"/>
            <wp:effectExtent l="0" t="0" r="13970" b="146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31FB0A1-D554-0146-A7DB-206F733A1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89BAD27" w14:textId="77777777" w:rsidR="007F2F9D" w:rsidRDefault="007F2F9D" w:rsidP="00A04D93">
      <w:pPr>
        <w:jc w:val="both"/>
        <w:rPr>
          <w:rFonts w:ascii="Arial" w:hAnsi="Arial" w:cs="Arial"/>
          <w:lang w:val="es-ES"/>
        </w:rPr>
      </w:pPr>
    </w:p>
    <w:p w14:paraId="774E7DAB" w14:textId="77777777" w:rsidR="00F1212A" w:rsidRDefault="00F1212A" w:rsidP="00F1212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Esto índica que la capital santandereana reporta altos índices de violencia e inseguridad, que se ven reflejados en sus noticias más sonadas, como es el reciente caso de </w:t>
      </w:r>
      <w:r w:rsidR="00634454">
        <w:rPr>
          <w:rFonts w:ascii="Arial" w:hAnsi="Arial" w:cs="Arial"/>
          <w:lang w:val="es-ES"/>
        </w:rPr>
        <w:t>Nickol Valentina, quien fue apuñalada en un hurto</w:t>
      </w:r>
      <w:r>
        <w:rPr>
          <w:rFonts w:ascii="Arial" w:hAnsi="Arial" w:cs="Arial"/>
          <w:lang w:val="es-ES"/>
        </w:rPr>
        <w:t>. Po</w:t>
      </w:r>
      <w:r w:rsidR="00634454">
        <w:rPr>
          <w:rFonts w:ascii="Arial" w:hAnsi="Arial" w:cs="Arial"/>
          <w:lang w:val="es-ES"/>
        </w:rPr>
        <w:t xml:space="preserve">r otro </w:t>
      </w:r>
      <w:r w:rsidR="007E2691">
        <w:rPr>
          <w:rFonts w:ascii="Arial" w:hAnsi="Arial" w:cs="Arial"/>
          <w:lang w:val="es-ES"/>
        </w:rPr>
        <w:t>lado,</w:t>
      </w:r>
      <w:r>
        <w:rPr>
          <w:rFonts w:ascii="Arial" w:hAnsi="Arial" w:cs="Arial"/>
          <w:lang w:val="es-ES"/>
        </w:rPr>
        <w:t xml:space="preserve"> la salud, es una temática que se mantiene en </w:t>
      </w:r>
      <w:r w:rsidR="00634454">
        <w:rPr>
          <w:rFonts w:ascii="Arial" w:hAnsi="Arial" w:cs="Arial"/>
          <w:lang w:val="es-ES"/>
        </w:rPr>
        <w:t xml:space="preserve">constante flujo </w:t>
      </w:r>
      <w:r>
        <w:rPr>
          <w:rFonts w:ascii="Arial" w:hAnsi="Arial" w:cs="Arial"/>
          <w:lang w:val="es-ES"/>
        </w:rPr>
        <w:t>a causa de los continuos reportes sobre la pandemia (COVID-19) y los avances en materia de vacunación.</w:t>
      </w:r>
    </w:p>
    <w:p w14:paraId="1937F46C" w14:textId="77777777" w:rsidR="00634454" w:rsidRDefault="00634454" w:rsidP="00F1212A">
      <w:pPr>
        <w:jc w:val="both"/>
        <w:rPr>
          <w:rFonts w:ascii="Arial" w:hAnsi="Arial" w:cs="Arial"/>
          <w:lang w:val="es-ES"/>
        </w:rPr>
      </w:pPr>
    </w:p>
    <w:p w14:paraId="12A88AE9" w14:textId="77777777" w:rsidR="00634454" w:rsidRDefault="00634454" w:rsidP="00F1212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su parte en el ámbito de la temática Social, podemos observar un crecimiento exponencial debido a las diversas protestas realizadas por la indignación de los ciudadanos a consecuencia de una falta de orden público.</w:t>
      </w:r>
    </w:p>
    <w:p w14:paraId="66E5BE8B" w14:textId="77777777" w:rsidR="00F1212A" w:rsidRDefault="00F1212A" w:rsidP="00F1212A">
      <w:pPr>
        <w:jc w:val="both"/>
        <w:rPr>
          <w:rFonts w:ascii="Arial" w:hAnsi="Arial" w:cs="Arial"/>
          <w:lang w:val="es-ES"/>
        </w:rPr>
      </w:pPr>
    </w:p>
    <w:p w14:paraId="16CBD9A7" w14:textId="77777777" w:rsidR="00F1212A" w:rsidRDefault="00F1212A" w:rsidP="00F1212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Debido a la predominancia de ciertos temas y el seguimiento de algunas historias, las noticias tienden a ser un tanto repetitivas. Esto desemboca en un constante flujo de noticias en la sección Bucaramanga.</w:t>
      </w:r>
      <w:r w:rsidR="00634454">
        <w:rPr>
          <w:rFonts w:ascii="Arial" w:hAnsi="Arial" w:cs="Arial"/>
          <w:lang w:val="es-ES"/>
        </w:rPr>
        <w:t xml:space="preserve"> No obstante, esto se rompe los días lunes, cuando la información tiende a ser mas escaza. </w:t>
      </w:r>
    </w:p>
    <w:p w14:paraId="25699883" w14:textId="77777777" w:rsidR="007F2F9D" w:rsidRDefault="007F2F9D" w:rsidP="00A04D93">
      <w:pPr>
        <w:jc w:val="both"/>
        <w:rPr>
          <w:rFonts w:ascii="Arial" w:hAnsi="Arial" w:cs="Arial"/>
          <w:lang w:val="es-ES"/>
        </w:rPr>
      </w:pPr>
    </w:p>
    <w:p w14:paraId="5F0C9FF2" w14:textId="77777777" w:rsidR="007E2691" w:rsidRDefault="007E2691" w:rsidP="007E2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 ser un apartado que compete al Área Metropolitana, se puede observar un cubrimiento a diversos barrios que la conforman. No obstante, el cubrimiento espacial tiende a centrarse en Bucaramanga como ciudad general, sin especificación de locaciones. </w:t>
      </w:r>
    </w:p>
    <w:p w14:paraId="0260F643" w14:textId="77777777" w:rsidR="007E2691" w:rsidRDefault="007E2691" w:rsidP="007E2691">
      <w:pPr>
        <w:jc w:val="both"/>
        <w:rPr>
          <w:rFonts w:ascii="Arial" w:hAnsi="Arial" w:cs="Arial"/>
          <w:lang w:val="es-ES"/>
        </w:rPr>
      </w:pPr>
    </w:p>
    <w:p w14:paraId="5CD418AB" w14:textId="77777777" w:rsidR="007E2691" w:rsidRDefault="007E2691" w:rsidP="007E2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tanto, el sector que obtiene mayor repercusión en esta sección de Vanguardia, es Bucaramanga con un (53%) seguido de Santander con un (16%).</w:t>
      </w:r>
    </w:p>
    <w:p w14:paraId="4FC33808" w14:textId="77777777" w:rsidR="007E2691" w:rsidRDefault="007E2691" w:rsidP="007E2691">
      <w:pPr>
        <w:jc w:val="both"/>
        <w:rPr>
          <w:rFonts w:ascii="Arial" w:hAnsi="Arial" w:cs="Arial"/>
          <w:lang w:val="es-ES"/>
        </w:rPr>
      </w:pPr>
    </w:p>
    <w:p w14:paraId="0F496892" w14:textId="77777777" w:rsidR="007E2691" w:rsidRDefault="007E2691" w:rsidP="007E2691">
      <w:pPr>
        <w:jc w:val="both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5C3656C6" wp14:editId="2BABD527">
            <wp:extent cx="5612130" cy="4430395"/>
            <wp:effectExtent l="63500" t="25400" r="64770" b="11620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7C01BDD-1681-E645-A868-FD82B8F28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E3D5E77" w14:textId="77777777" w:rsidR="007E2691" w:rsidRDefault="007E2691" w:rsidP="00A04D93">
      <w:pPr>
        <w:jc w:val="both"/>
        <w:rPr>
          <w:rFonts w:ascii="Arial" w:hAnsi="Arial" w:cs="Arial"/>
          <w:lang w:val="es-ES"/>
        </w:rPr>
      </w:pPr>
    </w:p>
    <w:p w14:paraId="635DC243" w14:textId="77777777" w:rsidR="00A801A5" w:rsidRPr="0047731F" w:rsidRDefault="003A74F3" w:rsidP="00A801A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Finalmente,</w:t>
      </w:r>
      <w:r w:rsidR="00A801A5">
        <w:rPr>
          <w:rFonts w:ascii="Arial" w:hAnsi="Arial" w:cs="Arial"/>
          <w:lang w:val="es-ES"/>
        </w:rPr>
        <w:t xml:space="preserve"> con estos resultados, se puede inferir que el periódico sigue manteniendo una visión </w:t>
      </w:r>
      <w:r>
        <w:rPr>
          <w:rFonts w:ascii="Arial" w:hAnsi="Arial" w:cs="Arial"/>
          <w:lang w:val="es-ES"/>
        </w:rPr>
        <w:t>centralista y monolítica</w:t>
      </w:r>
      <w:r w:rsidR="00A801A5">
        <w:rPr>
          <w:rFonts w:ascii="Arial" w:hAnsi="Arial" w:cs="Arial"/>
          <w:lang w:val="es-ES"/>
        </w:rPr>
        <w:t xml:space="preserve"> de lo que es Bucaramanga y su Área Metropolitana, ya que, aunque se habla de barrios específicos, son porcentajes muy pequeños y con temáticas que no permiten tener una visión más amplia de los habitantes de estos sectores. </w:t>
      </w:r>
    </w:p>
    <w:p w14:paraId="1EF265AD" w14:textId="77777777" w:rsidR="00EC48AE" w:rsidRPr="00A04D93" w:rsidRDefault="00F72721">
      <w:pPr>
        <w:rPr>
          <w:lang w:val="es-ES"/>
        </w:rPr>
      </w:pPr>
    </w:p>
    <w:sectPr w:rsidR="00EC48AE" w:rsidRPr="00A04D93" w:rsidSect="001803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93"/>
    <w:rsid w:val="001803D2"/>
    <w:rsid w:val="003A74F3"/>
    <w:rsid w:val="00634454"/>
    <w:rsid w:val="007E2691"/>
    <w:rsid w:val="007F2F9D"/>
    <w:rsid w:val="00A04D93"/>
    <w:rsid w:val="00A801A5"/>
    <w:rsid w:val="00F1212A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AA85"/>
  <w15:chartTrackingRefBased/>
  <w15:docId w15:val="{091BFD85-8872-E247-8881-22162286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laura\Documents\%20Plantilla_Fundamentos_%20final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laura\Documents\%20Plantilla_Fundamentos_%20final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Gráfica Tema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noFill/>
            </a:ln>
            <a:effectLst>
              <a:outerShdw blurRad="50800" dist="38100" dir="18900000" algn="bl" rotWithShape="0">
                <a:prstClr val="black">
                  <a:alpha val="65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CE6-054F-A60C-4FF092035F85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E6-054F-A60C-4FF092035F85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E6-054F-A60C-4FF092035F85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E6-054F-A60C-4FF092035F85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CE6-054F-A60C-4FF092035F85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CE6-054F-A60C-4FF092035F85}"/>
              </c:ext>
            </c:extLst>
          </c:dPt>
          <c:dPt>
            <c:idx val="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CE6-054F-A60C-4FF092035F85}"/>
              </c:ext>
            </c:extLst>
          </c:dPt>
          <c:dPt>
            <c:idx val="7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CE6-054F-A60C-4FF092035F85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6CE6-054F-A60C-4FF092035F85}"/>
              </c:ext>
            </c:extLst>
          </c:dPt>
          <c:dPt>
            <c:idx val="9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6CE6-054F-A60C-4FF092035F85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6CE6-054F-A60C-4FF092035F85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6CE6-054F-A60C-4FF092035F85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0800" dist="38100" dir="18900000" algn="bl" rotWithShape="0">
                  <a:prstClr val="black">
                    <a:alpha val="6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6CE6-054F-A60C-4FF092035F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Bucaramanga!$X$3:$AI$3</c:f>
              <c:strCache>
                <c:ptCount val="12"/>
                <c:pt idx="0">
                  <c:v>Corrupción</c:v>
                </c:pt>
                <c:pt idx="1">
                  <c:v>Judicial</c:v>
                </c:pt>
                <c:pt idx="2">
                  <c:v>Salud</c:v>
                </c:pt>
                <c:pt idx="3">
                  <c:v>Movilidad</c:v>
                </c:pt>
                <c:pt idx="4">
                  <c:v>Obras Públicas</c:v>
                </c:pt>
                <c:pt idx="5">
                  <c:v>Medio Ambiente</c:v>
                </c:pt>
                <c:pt idx="6">
                  <c:v>Social</c:v>
                </c:pt>
                <c:pt idx="7">
                  <c:v>Política</c:v>
                </c:pt>
                <c:pt idx="8">
                  <c:v>Cultura</c:v>
                </c:pt>
                <c:pt idx="9">
                  <c:v>Tecnología</c:v>
                </c:pt>
                <c:pt idx="10">
                  <c:v>Educación</c:v>
                </c:pt>
                <c:pt idx="11">
                  <c:v>Orden Público</c:v>
                </c:pt>
              </c:strCache>
            </c:strRef>
          </c:cat>
          <c:val>
            <c:numRef>
              <c:f>Bucaramanga!$X$5:$AI$5</c:f>
              <c:numCache>
                <c:formatCode>0%</c:formatCode>
                <c:ptCount val="12"/>
                <c:pt idx="0">
                  <c:v>8.2278481012658222E-2</c:v>
                </c:pt>
                <c:pt idx="1">
                  <c:v>4.4303797468354431E-2</c:v>
                </c:pt>
                <c:pt idx="2">
                  <c:v>0.16455696202531644</c:v>
                </c:pt>
                <c:pt idx="3">
                  <c:v>7.5949367088607597E-2</c:v>
                </c:pt>
                <c:pt idx="4">
                  <c:v>8.2278481012658222E-2</c:v>
                </c:pt>
                <c:pt idx="5">
                  <c:v>8.8607594936708861E-2</c:v>
                </c:pt>
                <c:pt idx="6">
                  <c:v>0.12025316455696203</c:v>
                </c:pt>
                <c:pt idx="7">
                  <c:v>2.5316455696202531E-2</c:v>
                </c:pt>
                <c:pt idx="8">
                  <c:v>6.9620253164556958E-2</c:v>
                </c:pt>
                <c:pt idx="9">
                  <c:v>1.2658227848101266E-2</c:v>
                </c:pt>
                <c:pt idx="10">
                  <c:v>7.5949367088607597E-2</c:v>
                </c:pt>
                <c:pt idx="11">
                  <c:v>0.15822784810126583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6CE6-054F-A60C-4FF092035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9971887"/>
        <c:axId val="1799940719"/>
      </c:barChart>
      <c:catAx>
        <c:axId val="1849971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99940719"/>
        <c:crosses val="autoZero"/>
        <c:auto val="1"/>
        <c:lblAlgn val="ctr"/>
        <c:lblOffset val="100"/>
        <c:noMultiLvlLbl val="0"/>
      </c:catAx>
      <c:valAx>
        <c:axId val="1799940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49971887"/>
        <c:crosses val="autoZero"/>
        <c:crossBetween val="between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>
          <a:outerShdw blurRad="50800" dist="38100" dir="18900000" algn="bl" rotWithShape="0">
            <a:prstClr val="black">
              <a:alpha val="40000"/>
            </a:prstClr>
          </a:outerShdw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Gráfico</a:t>
            </a:r>
            <a:r>
              <a:rPr lang="es-ES_tradnl" baseline="0"/>
              <a:t> de Sectores</a:t>
            </a:r>
            <a:endParaRPr lang="es-ES_tradnl"/>
          </a:p>
        </c:rich>
      </c:tx>
      <c:layout>
        <c:manualLayout>
          <c:xMode val="edge"/>
          <c:yMode val="edge"/>
          <c:x val="0.77196392409968229"/>
          <c:y val="2.130345854100943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A7-3447-B9FC-CE92EA3220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A7-3447-B9FC-CE92EA3220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A7-3447-B9FC-CE92EA3220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A7-3447-B9FC-CE92EA3220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CA7-3447-B9FC-CE92EA3220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CA7-3447-B9FC-CE92EA32205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CA7-3447-B9FC-CE92EA32205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CA7-3447-B9FC-CE92EA32205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CA7-3447-B9FC-CE92EA32205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CA7-3447-B9FC-CE92EA32205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CA7-3447-B9FC-CE92EA32205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CA7-3447-B9FC-CE92EA32205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CA7-3447-B9FC-CE92EA32205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4CA7-3447-B9FC-CE92EA32205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4CA7-3447-B9FC-CE92EA32205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4CA7-3447-B9FC-CE92EA32205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4CA7-3447-B9FC-CE92EA32205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4CA7-3447-B9FC-CE92EA32205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4CA7-3447-B9FC-CE92EA32205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4CA7-3447-B9FC-CE92EA32205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4CA7-3447-B9FC-CE92EA32205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4CA7-3447-B9FC-CE92EA32205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4CA7-3447-B9FC-CE92EA32205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4CA7-3447-B9FC-CE92EA32205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4CA7-3447-B9FC-CE92EA32205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4CA7-3447-B9FC-CE92EA32205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4CA7-3447-B9FC-CE92EA32205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4CA7-3447-B9FC-CE92EA32205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4CA7-3447-B9FC-CE92EA322050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Bucaramanga!$X$8:$AZ$8</c:f>
              <c:strCache>
                <c:ptCount val="29"/>
                <c:pt idx="0">
                  <c:v>Santander</c:v>
                </c:pt>
                <c:pt idx="1">
                  <c:v>Bucaramanga (General)</c:v>
                </c:pt>
                <c:pt idx="2">
                  <c:v>Girón</c:v>
                </c:pt>
                <c:pt idx="3">
                  <c:v>Kennedy</c:v>
                </c:pt>
                <c:pt idx="4">
                  <c:v>Café Madrid</c:v>
                </c:pt>
                <c:pt idx="5">
                  <c:v>Provenza</c:v>
                </c:pt>
                <c:pt idx="6">
                  <c:v>Villa Real</c:v>
                </c:pt>
                <c:pt idx="7">
                  <c:v>Villa Candado</c:v>
                </c:pt>
                <c:pt idx="8">
                  <c:v>Sotomayor</c:v>
                </c:pt>
                <c:pt idx="9">
                  <c:v>La Concordia</c:v>
                </c:pt>
                <c:pt idx="10">
                  <c:v>Santurbán</c:v>
                </c:pt>
                <c:pt idx="11">
                  <c:v>Campo Hermoso</c:v>
                </c:pt>
                <c:pt idx="12">
                  <c:v>Gaitán</c:v>
                </c:pt>
                <c:pt idx="13">
                  <c:v>Girardot</c:v>
                </c:pt>
                <c:pt idx="14">
                  <c:v>San Rafael</c:v>
                </c:pt>
                <c:pt idx="15">
                  <c:v>Cabecera</c:v>
                </c:pt>
                <c:pt idx="16">
                  <c:v>Luz de salvación</c:v>
                </c:pt>
                <c:pt idx="17">
                  <c:v>El centro</c:v>
                </c:pt>
                <c:pt idx="18">
                  <c:v>Area Metropolitana</c:v>
                </c:pt>
                <c:pt idx="19">
                  <c:v>San Alonso</c:v>
                </c:pt>
                <c:pt idx="20">
                  <c:v>San Pío</c:v>
                </c:pt>
                <c:pt idx="21">
                  <c:v>Río Oro</c:v>
                </c:pt>
                <c:pt idx="22">
                  <c:v>Pamplona</c:v>
                </c:pt>
                <c:pt idx="23">
                  <c:v>Socorro</c:v>
                </c:pt>
                <c:pt idx="24">
                  <c:v>San Gil</c:v>
                </c:pt>
                <c:pt idx="25">
                  <c:v>San Crístobal</c:v>
                </c:pt>
                <c:pt idx="26">
                  <c:v>Mesón de los Búcaros</c:v>
                </c:pt>
                <c:pt idx="27">
                  <c:v>San Francisco</c:v>
                </c:pt>
                <c:pt idx="28">
                  <c:v>Real de Minas</c:v>
                </c:pt>
              </c:strCache>
            </c:strRef>
          </c:cat>
          <c:val>
            <c:numRef>
              <c:f>Bucaramanga!$X$9:$AZ$9</c:f>
              <c:numCache>
                <c:formatCode>General</c:formatCode>
                <c:ptCount val="29"/>
                <c:pt idx="0">
                  <c:v>23</c:v>
                </c:pt>
                <c:pt idx="1">
                  <c:v>79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4</c:v>
                </c:pt>
                <c:pt idx="16">
                  <c:v>2</c:v>
                </c:pt>
                <c:pt idx="17">
                  <c:v>6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A-4CA7-3447-B9FC-CE92EA32205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4CA7-3447-B9FC-CE92EA3220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4CA7-3447-B9FC-CE92EA3220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4CA7-3447-B9FC-CE92EA3220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4CA7-3447-B9FC-CE92EA3220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4CA7-3447-B9FC-CE92EA3220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6-4CA7-3447-B9FC-CE92EA32205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4CA7-3447-B9FC-CE92EA32205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4CA7-3447-B9FC-CE92EA32205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C-4CA7-3447-B9FC-CE92EA32205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E-4CA7-3447-B9FC-CE92EA32205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0-4CA7-3447-B9FC-CE92EA32205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2-4CA7-3447-B9FC-CE92EA32205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4-4CA7-3447-B9FC-CE92EA32205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6-4CA7-3447-B9FC-CE92EA32205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8-4CA7-3447-B9FC-CE92EA32205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A-4CA7-3447-B9FC-CE92EA32205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C-4CA7-3447-B9FC-CE92EA32205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E-4CA7-3447-B9FC-CE92EA32205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4CA7-3447-B9FC-CE92EA32205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4CA7-3447-B9FC-CE92EA32205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4CA7-3447-B9FC-CE92EA32205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4CA7-3447-B9FC-CE92EA32205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4CA7-3447-B9FC-CE92EA32205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4CA7-3447-B9FC-CE92EA32205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4CA7-3447-B9FC-CE92EA32205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E-4CA7-3447-B9FC-CE92EA32205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4CA7-3447-B9FC-CE92EA32205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2-4CA7-3447-B9FC-CE92EA32205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4-4CA7-3447-B9FC-CE92EA322050}"/>
              </c:ext>
            </c:extLst>
          </c:dPt>
          <c:cat>
            <c:strRef>
              <c:f>Bucaramanga!$X$8:$AZ$8</c:f>
              <c:strCache>
                <c:ptCount val="29"/>
                <c:pt idx="0">
                  <c:v>Santander</c:v>
                </c:pt>
                <c:pt idx="1">
                  <c:v>Bucaramanga (General)</c:v>
                </c:pt>
                <c:pt idx="2">
                  <c:v>Girón</c:v>
                </c:pt>
                <c:pt idx="3">
                  <c:v>Kennedy</c:v>
                </c:pt>
                <c:pt idx="4">
                  <c:v>Café Madrid</c:v>
                </c:pt>
                <c:pt idx="5">
                  <c:v>Provenza</c:v>
                </c:pt>
                <c:pt idx="6">
                  <c:v>Villa Real</c:v>
                </c:pt>
                <c:pt idx="7">
                  <c:v>Villa Candado</c:v>
                </c:pt>
                <c:pt idx="8">
                  <c:v>Sotomayor</c:v>
                </c:pt>
                <c:pt idx="9">
                  <c:v>La Concordia</c:v>
                </c:pt>
                <c:pt idx="10">
                  <c:v>Santurbán</c:v>
                </c:pt>
                <c:pt idx="11">
                  <c:v>Campo Hermoso</c:v>
                </c:pt>
                <c:pt idx="12">
                  <c:v>Gaitán</c:v>
                </c:pt>
                <c:pt idx="13">
                  <c:v>Girardot</c:v>
                </c:pt>
                <c:pt idx="14">
                  <c:v>San Rafael</c:v>
                </c:pt>
                <c:pt idx="15">
                  <c:v>Cabecera</c:v>
                </c:pt>
                <c:pt idx="16">
                  <c:v>Luz de salvación</c:v>
                </c:pt>
                <c:pt idx="17">
                  <c:v>El centro</c:v>
                </c:pt>
                <c:pt idx="18">
                  <c:v>Area Metropolitana</c:v>
                </c:pt>
                <c:pt idx="19">
                  <c:v>San Alonso</c:v>
                </c:pt>
                <c:pt idx="20">
                  <c:v>San Pío</c:v>
                </c:pt>
                <c:pt idx="21">
                  <c:v>Río Oro</c:v>
                </c:pt>
                <c:pt idx="22">
                  <c:v>Pamplona</c:v>
                </c:pt>
                <c:pt idx="23">
                  <c:v>Socorro</c:v>
                </c:pt>
                <c:pt idx="24">
                  <c:v>San Gil</c:v>
                </c:pt>
                <c:pt idx="25">
                  <c:v>San Crístobal</c:v>
                </c:pt>
                <c:pt idx="26">
                  <c:v>Mesón de los Búcaros</c:v>
                </c:pt>
                <c:pt idx="27">
                  <c:v>San Francisco</c:v>
                </c:pt>
                <c:pt idx="28">
                  <c:v>Real de Minas</c:v>
                </c:pt>
              </c:strCache>
            </c:strRef>
          </c:cat>
          <c:val>
            <c:numRef>
              <c:f>Bucaramanga!$X$10:$AZ$10</c:f>
              <c:numCache>
                <c:formatCode>0%</c:formatCode>
                <c:ptCount val="29"/>
                <c:pt idx="0">
                  <c:v>0.1554054054054054</c:v>
                </c:pt>
                <c:pt idx="1">
                  <c:v>0.53378378378378377</c:v>
                </c:pt>
                <c:pt idx="2">
                  <c:v>3.3783783783783786E-2</c:v>
                </c:pt>
                <c:pt idx="3">
                  <c:v>6.7567567567567571E-3</c:v>
                </c:pt>
                <c:pt idx="4">
                  <c:v>1.3513513513513514E-2</c:v>
                </c:pt>
                <c:pt idx="5">
                  <c:v>1.3513513513513514E-2</c:v>
                </c:pt>
                <c:pt idx="6">
                  <c:v>6.7567567567567571E-3</c:v>
                </c:pt>
                <c:pt idx="7">
                  <c:v>6.7567567567567571E-3</c:v>
                </c:pt>
                <c:pt idx="8">
                  <c:v>1.3513513513513514E-2</c:v>
                </c:pt>
                <c:pt idx="9">
                  <c:v>1.3513513513513514E-2</c:v>
                </c:pt>
                <c:pt idx="10">
                  <c:v>6.7567567567567571E-3</c:v>
                </c:pt>
                <c:pt idx="11">
                  <c:v>6.7567567567567571E-3</c:v>
                </c:pt>
                <c:pt idx="12">
                  <c:v>1.3513513513513514E-2</c:v>
                </c:pt>
                <c:pt idx="13">
                  <c:v>6.7567567567567571E-3</c:v>
                </c:pt>
                <c:pt idx="14">
                  <c:v>6.7567567567567571E-3</c:v>
                </c:pt>
                <c:pt idx="15">
                  <c:v>2.7027027027027029E-2</c:v>
                </c:pt>
                <c:pt idx="16">
                  <c:v>1.3513513513513514E-2</c:v>
                </c:pt>
                <c:pt idx="17">
                  <c:v>4.0540540540540543E-2</c:v>
                </c:pt>
                <c:pt idx="18">
                  <c:v>6.7567567567567571E-3</c:v>
                </c:pt>
                <c:pt idx="19">
                  <c:v>6.7567567567567571E-3</c:v>
                </c:pt>
                <c:pt idx="20">
                  <c:v>6.7567567567567571E-3</c:v>
                </c:pt>
                <c:pt idx="21">
                  <c:v>6.7567567567567571E-3</c:v>
                </c:pt>
                <c:pt idx="22">
                  <c:v>6.7567567567567571E-3</c:v>
                </c:pt>
                <c:pt idx="23">
                  <c:v>6.7567567567567571E-3</c:v>
                </c:pt>
                <c:pt idx="24">
                  <c:v>6.7567567567567571E-3</c:v>
                </c:pt>
                <c:pt idx="25">
                  <c:v>6.7567567567567571E-3</c:v>
                </c:pt>
                <c:pt idx="26">
                  <c:v>6.7567567567567571E-3</c:v>
                </c:pt>
                <c:pt idx="27">
                  <c:v>6.7567567567567571E-3</c:v>
                </c:pt>
                <c:pt idx="28">
                  <c:v>1.3513513513513514E-2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5-4CA7-3447-B9FC-CE92EA322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5400000" algn="ctr" rotWithShape="0">
        <a:srgbClr val="000000">
          <a:alpha val="83000"/>
        </a:srgbClr>
      </a:outerShdw>
      <a:softEdge rad="31750"/>
    </a:effectLst>
    <a:scene3d>
      <a:camera prst="orthographicFront"/>
      <a:lightRig rig="threePt" dir="t"/>
    </a:scene3d>
    <a:sp3d>
      <a:bevelT w="165100" prst="coolSlant"/>
    </a:sp3d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/>
    </cs:fontRef>
    <cs:defRPr sz="1000" kern="1200"/>
  </cs:axisTitle>
  <cs:categoryAxis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9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/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/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/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/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/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SCLASEJARDIN_JK02</cp:lastModifiedBy>
  <cp:revision>2</cp:revision>
  <dcterms:created xsi:type="dcterms:W3CDTF">2022-03-22T15:31:00Z</dcterms:created>
  <dcterms:modified xsi:type="dcterms:W3CDTF">2022-03-22T15:31:00Z</dcterms:modified>
</cp:coreProperties>
</file>